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7F00">
      <w:pPr>
        <w:rPr>
          <w:b w:val="0"/>
          <w:bCs w:val="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lang w:val="sv-SE"/>
        </w:rPr>
        <w:t>Cirkulär</w:t>
      </w:r>
      <w:r>
        <w:tab/>
      </w:r>
      <w:r>
        <w:tab/>
      </w:r>
      <w:r>
        <w:rPr>
          <w:b w:val="0"/>
          <w:bCs w:val="0"/>
        </w:rPr>
        <w:t xml:space="preserve">         21/80/2002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rPr>
          <w:b w:val="0"/>
          <w:bCs w:val="0"/>
        </w:rPr>
        <w:sectPr w:rsidR="00000000">
          <w:headerReference w:type="default" r:id="rId8"/>
          <w:pgSz w:w="11905" w:h="16837"/>
          <w:pgMar w:top="851" w:right="1134" w:bottom="1134" w:left="1134" w:header="851" w:footer="709" w:gutter="0"/>
          <w:cols w:space="709"/>
          <w:noEndnote/>
          <w:titlePg/>
        </w:sectPr>
      </w:pPr>
      <w:r>
        <w:rPr>
          <w:b w:val="0"/>
          <w:bCs w:val="0"/>
          <w:noProof/>
        </w:rPr>
        <w:t>Anna-Maija Haliseva-Lahtinen/eg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17.12.2002 </w:t>
      </w:r>
      <w:r>
        <w:rPr>
          <w:b w:val="0"/>
          <w:bCs w:val="0"/>
        </w:rPr>
        <w:tab/>
        <w:t xml:space="preserve">                    1 (4)</w:t>
      </w:r>
    </w:p>
    <w:p w:rsidR="00000000" w:rsidRDefault="00CA7F00"/>
    <w:p w:rsidR="00000000" w:rsidRDefault="00CA7F00"/>
    <w:p w:rsidR="00000000" w:rsidRDefault="00CA7F00"/>
    <w:p w:rsidR="00000000" w:rsidRDefault="00CA7F00"/>
    <w:p w:rsidR="00000000" w:rsidRDefault="00CA7F00">
      <w:pPr>
        <w:outlineLvl w:val="0"/>
        <w:rPr>
          <w:b w:val="0"/>
          <w:bCs w:val="0"/>
        </w:rPr>
      </w:pPr>
      <w:r>
        <w:rPr>
          <w:b w:val="0"/>
          <w:bCs w:val="0"/>
          <w:lang w:val="sv-SE"/>
        </w:rPr>
        <w:t>Till kommun- och stadsstyrelserna</w:t>
      </w:r>
    </w:p>
    <w:p w:rsidR="00000000" w:rsidRDefault="00CA7F00">
      <w:r>
        <w:rPr>
          <w:b w:val="0"/>
          <w:bCs w:val="0"/>
          <w:lang w:val="sv-SE"/>
        </w:rPr>
        <w:t>och samkommunernas styrelser</w:t>
      </w:r>
    </w:p>
    <w:p w:rsidR="00000000" w:rsidRDefault="00CA7F00"/>
    <w:p w:rsidR="00000000" w:rsidRDefault="00CA7F00"/>
    <w:p w:rsidR="00000000" w:rsidRDefault="00CA7F00"/>
    <w:p w:rsidR="00000000" w:rsidRDefault="00CA7F00"/>
    <w:p w:rsidR="00000000" w:rsidRDefault="00CA7F00"/>
    <w:p w:rsidR="00000000" w:rsidRDefault="00CA7F00"/>
    <w:p w:rsidR="00000000" w:rsidRDefault="00CA7F00"/>
    <w:p w:rsidR="00000000" w:rsidRDefault="00CA7F00">
      <w:pPr>
        <w:outlineLvl w:val="0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lang w:val="sv-SE"/>
        </w:rPr>
        <w:t>Finlands Kommunförbunds rekommendation om</w:t>
      </w:r>
    </w:p>
    <w:p w:rsidR="00000000" w:rsidRDefault="00CA7F00">
      <w:pPr>
        <w:ind w:left="2596"/>
        <w:jc w:val="both"/>
      </w:pPr>
      <w:r>
        <w:rPr>
          <w:lang w:val="sv-SE"/>
        </w:rPr>
        <w:t>kostnadsersättningar inom den kommunala fami</w:t>
      </w:r>
      <w:r>
        <w:rPr>
          <w:lang w:val="sv-SE"/>
        </w:rPr>
        <w:t>l</w:t>
      </w:r>
      <w:r>
        <w:rPr>
          <w:lang w:val="sv-SE"/>
        </w:rPr>
        <w:t>jedagvården 2003</w:t>
      </w:r>
    </w:p>
    <w:p w:rsidR="00000000" w:rsidRDefault="00CA7F00">
      <w:pPr>
        <w:ind w:left="2596"/>
        <w:jc w:val="both"/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Finlands Kommunförbund skickar som bilaga reko</w:t>
      </w:r>
      <w:r>
        <w:rPr>
          <w:b w:val="0"/>
          <w:bCs w:val="0"/>
          <w:lang w:val="sv-SE"/>
        </w:rPr>
        <w:t>m</w:t>
      </w:r>
      <w:r>
        <w:rPr>
          <w:b w:val="0"/>
          <w:bCs w:val="0"/>
          <w:lang w:val="sv-SE"/>
        </w:rPr>
        <w:t>mendationen om kostnadsersä</w:t>
      </w:r>
      <w:r>
        <w:rPr>
          <w:b w:val="0"/>
          <w:bCs w:val="0"/>
          <w:lang w:val="sv-SE"/>
        </w:rPr>
        <w:t>ttningar inom den ko</w:t>
      </w:r>
      <w:r>
        <w:rPr>
          <w:b w:val="0"/>
          <w:bCs w:val="0"/>
          <w:lang w:val="sv-SE"/>
        </w:rPr>
        <w:t>m</w:t>
      </w:r>
      <w:r>
        <w:rPr>
          <w:b w:val="0"/>
          <w:bCs w:val="0"/>
          <w:lang w:val="sv-SE"/>
        </w:rPr>
        <w:t>munala familjedagvården 2003.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jc w:val="both"/>
        <w:rPr>
          <w:b w:val="0"/>
          <w:bCs w:val="0"/>
        </w:rPr>
      </w:pPr>
      <w:r>
        <w:rPr>
          <w:b w:val="0"/>
          <w:bCs w:val="0"/>
          <w:lang w:val="sv-SE"/>
        </w:rPr>
        <w:t>Förbundet har förhandlat om frågan med Kommunala arbetsmarknadsverket och Kommunfackets union r.f.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jc w:val="both"/>
        <w:rPr>
          <w:b w:val="0"/>
          <w:bCs w:val="0"/>
        </w:rPr>
      </w:pPr>
      <w:r>
        <w:rPr>
          <w:b w:val="0"/>
          <w:bCs w:val="0"/>
          <w:lang w:val="sv-SE"/>
        </w:rPr>
        <w:t>Vid justeringen av kostnadsersättningarna används konsumentprisindex och dess undergrupp 01 Livsm</w:t>
      </w:r>
      <w:r>
        <w:rPr>
          <w:b w:val="0"/>
          <w:bCs w:val="0"/>
          <w:lang w:val="sv-SE"/>
        </w:rPr>
        <w:t>e</w:t>
      </w:r>
      <w:r>
        <w:rPr>
          <w:b w:val="0"/>
          <w:bCs w:val="0"/>
          <w:lang w:val="sv-SE"/>
        </w:rPr>
        <w:t>del oc</w:t>
      </w:r>
      <w:r>
        <w:rPr>
          <w:b w:val="0"/>
          <w:bCs w:val="0"/>
          <w:lang w:val="sv-SE"/>
        </w:rPr>
        <w:t>h alkoholfria drycker.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I rekommendationen utgår man ifrån att matkostnaderna ökar med tre procent och de övriga kostnaderna med två procent under 2003.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I övrigt har innehållet i rekommendationen inte ändrats.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outlineLvl w:val="0"/>
      </w:pPr>
      <w:r>
        <w:rPr>
          <w:lang w:val="sv-SE"/>
        </w:rPr>
        <w:t>Närmare upplysningar:</w:t>
      </w:r>
    </w:p>
    <w:p w:rsidR="00000000" w:rsidRDefault="00CA7F00">
      <w:pPr>
        <w:ind w:left="2596"/>
        <w:outlineLvl w:val="0"/>
        <w:rPr>
          <w:b w:val="0"/>
          <w:bCs w:val="0"/>
        </w:rPr>
      </w:pPr>
      <w:r>
        <w:rPr>
          <w:b w:val="0"/>
          <w:bCs w:val="0"/>
          <w:lang w:val="sv-SE"/>
        </w:rPr>
        <w:t>Anna-Maija Haliseva-Laht</w:t>
      </w:r>
      <w:r>
        <w:rPr>
          <w:b w:val="0"/>
          <w:bCs w:val="0"/>
          <w:lang w:val="sv-SE"/>
        </w:rPr>
        <w:t>inen, tfn (09) 771 23 06</w:t>
      </w:r>
    </w:p>
    <w:p w:rsidR="000000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Leena Meisalo, tfn (09) 771 22 63</w:t>
      </w:r>
    </w:p>
    <w:p w:rsidR="000000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Kommunala arbetsmarknadsverket</w:t>
      </w:r>
    </w:p>
    <w:p w:rsidR="00000000" w:rsidRDefault="00CA7F00">
      <w:pPr>
        <w:ind w:left="2596"/>
        <w:jc w:val="both"/>
        <w:rPr>
          <w:b w:val="0"/>
          <w:bCs w:val="0"/>
        </w:rPr>
      </w:pPr>
      <w:r>
        <w:rPr>
          <w:b w:val="0"/>
          <w:bCs w:val="0"/>
          <w:noProof/>
        </w:rPr>
        <w:t>Marja-Leena Kiivanen, tfn (09) 771 21 16</w:t>
      </w:r>
    </w:p>
    <w:p w:rsidR="00000000" w:rsidRDefault="00CA7F00">
      <w:pPr>
        <w:ind w:left="2596"/>
        <w:jc w:val="both"/>
        <w:rPr>
          <w:b w:val="0"/>
          <w:bCs w:val="0"/>
        </w:rPr>
        <w:sectPr w:rsidR="00000000">
          <w:type w:val="continuous"/>
          <w:pgSz w:w="11905" w:h="16837" w:code="9"/>
          <w:pgMar w:top="1418" w:right="2835" w:bottom="1134" w:left="1134" w:header="851" w:footer="709" w:gutter="0"/>
          <w:cols w:space="709"/>
          <w:noEndnote/>
          <w:titlePg/>
        </w:sectPr>
      </w:pPr>
    </w:p>
    <w:p w:rsidR="00000000" w:rsidRDefault="00CA7F00">
      <w:pPr>
        <w:rPr>
          <w:b w:val="0"/>
          <w:bCs w:val="0"/>
        </w:rPr>
      </w:pPr>
    </w:p>
    <w:p w:rsidR="00000000" w:rsidRDefault="00CA7F00">
      <w:pPr>
        <w:outlineLvl w:val="0"/>
        <w:rPr>
          <w:b w:val="0"/>
          <w:bCs w:val="0"/>
        </w:rPr>
      </w:pPr>
      <w:r>
        <w:rPr>
          <w:b w:val="0"/>
          <w:bCs w:val="0"/>
          <w:lang w:val="sv-SE"/>
        </w:rPr>
        <w:t>KOSTNADSERSÄTTNINGAR INOM DEN KOMMUNALA FAMILJEDAGVÅRDEN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Med stöd av 30 § i bi</w:t>
      </w:r>
      <w:r>
        <w:rPr>
          <w:b w:val="0"/>
          <w:bCs w:val="0"/>
          <w:lang w:val="sv-SE"/>
        </w:rPr>
        <w:t>lagan om familjedagvårdare till det allmänna kommunala tjänste- och arbetskollektivavtalet (från 1.2.2003 1 § i bil</w:t>
      </w:r>
      <w:r>
        <w:rPr>
          <w:b w:val="0"/>
          <w:bCs w:val="0"/>
          <w:lang w:val="sv-SE"/>
        </w:rPr>
        <w:t>a</w:t>
      </w:r>
      <w:r>
        <w:rPr>
          <w:b w:val="0"/>
          <w:bCs w:val="0"/>
          <w:lang w:val="sv-SE"/>
        </w:rPr>
        <w:t>gan ”Kostnadsersättningar”) betalas kommunala familjedagvårdare som arbetar i det egna hemmet ersättning för de direkta kostnaderna av vå</w:t>
      </w:r>
      <w:r>
        <w:rPr>
          <w:b w:val="0"/>
          <w:bCs w:val="0"/>
          <w:lang w:val="sv-SE"/>
        </w:rPr>
        <w:t>r</w:t>
      </w:r>
      <w:r>
        <w:rPr>
          <w:b w:val="0"/>
          <w:bCs w:val="0"/>
          <w:lang w:val="sv-SE"/>
        </w:rPr>
        <w:t>de</w:t>
      </w:r>
      <w:r>
        <w:rPr>
          <w:b w:val="0"/>
          <w:bCs w:val="0"/>
          <w:lang w:val="sv-SE"/>
        </w:rPr>
        <w:t>n enligt Kommunförbundets gällande rekommendation om kostnad</w:t>
      </w:r>
      <w:r>
        <w:rPr>
          <w:b w:val="0"/>
          <w:bCs w:val="0"/>
          <w:lang w:val="sv-SE"/>
        </w:rPr>
        <w:t>s</w:t>
      </w:r>
      <w:r>
        <w:rPr>
          <w:b w:val="0"/>
          <w:bCs w:val="0"/>
          <w:lang w:val="sv-SE"/>
        </w:rPr>
        <w:t>ersättningar inom familjedagvården.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rStyle w:val="tw4winMark"/>
          <w:b w:val="0"/>
          <w:bCs w:val="0"/>
          <w:lang w:val="en-US"/>
        </w:rPr>
      </w:pPr>
      <w:r>
        <w:rPr>
          <w:b w:val="0"/>
          <w:bCs w:val="0"/>
          <w:lang w:val="sv-SE"/>
        </w:rPr>
        <w:t>Då de nedan nämnda ersättningarna senare justeras, skall ändringen i undergruppen för livsmedel i konsumentprisindexet användas som grund för livsmedelskostna</w:t>
      </w:r>
      <w:r>
        <w:rPr>
          <w:b w:val="0"/>
          <w:bCs w:val="0"/>
          <w:lang w:val="sv-SE"/>
        </w:rPr>
        <w:t>der och ändringen i konsumentprisindexet för övriga utgifter.</w:t>
      </w: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Rekommendationen justeras kalenderårsvis och som grund för beräkningen används senast tillgängliga konsumentprisindex och den uppskattade förändringen i respektive kostnader under rekommenda</w:t>
      </w:r>
      <w:r>
        <w:rPr>
          <w:b w:val="0"/>
          <w:bCs w:val="0"/>
          <w:lang w:val="sv-SE"/>
        </w:rPr>
        <w:t>t</w:t>
      </w:r>
      <w:r>
        <w:rPr>
          <w:b w:val="0"/>
          <w:bCs w:val="0"/>
          <w:lang w:val="sv-SE"/>
        </w:rPr>
        <w:t>io</w:t>
      </w:r>
      <w:r>
        <w:rPr>
          <w:b w:val="0"/>
          <w:bCs w:val="0"/>
          <w:lang w:val="sv-SE"/>
        </w:rPr>
        <w:t>nsåret.</w:t>
      </w:r>
    </w:p>
    <w:p w:rsidR="00000000" w:rsidRDefault="00CA7F00">
      <w:pPr>
        <w:ind w:left="2596"/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Enligt gällande lagstiftning är kostnadsersättningen beskattningsbar fö</w:t>
      </w:r>
      <w:r>
        <w:rPr>
          <w:b w:val="0"/>
          <w:bCs w:val="0"/>
          <w:lang w:val="sv-SE"/>
        </w:rPr>
        <w:t>r</w:t>
      </w:r>
      <w:r>
        <w:rPr>
          <w:b w:val="0"/>
          <w:bCs w:val="0"/>
          <w:lang w:val="sv-SE"/>
        </w:rPr>
        <w:t>värvsinkomst för familjedagvårdaren eftersom den inte i inkomstskatt</w:t>
      </w:r>
      <w:r>
        <w:rPr>
          <w:b w:val="0"/>
          <w:bCs w:val="0"/>
          <w:lang w:val="sv-SE"/>
        </w:rPr>
        <w:t>e</w:t>
      </w:r>
      <w:r>
        <w:rPr>
          <w:b w:val="0"/>
          <w:bCs w:val="0"/>
          <w:lang w:val="sv-SE"/>
        </w:rPr>
        <w:t>lagen angetts som skattefri inkomst.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Om utredning saknas, har de erlagda kostnadsersättningarna utan särsk</w:t>
      </w:r>
      <w:r>
        <w:rPr>
          <w:b w:val="0"/>
          <w:bCs w:val="0"/>
          <w:lang w:val="sv-SE"/>
        </w:rPr>
        <w:t>ilda verifikat enligt gängse beskat</w:t>
      </w:r>
      <w:r>
        <w:rPr>
          <w:b w:val="0"/>
          <w:bCs w:val="0"/>
          <w:lang w:val="sv-SE"/>
        </w:rPr>
        <w:t>t</w:t>
      </w:r>
      <w:r>
        <w:rPr>
          <w:b w:val="0"/>
          <w:bCs w:val="0"/>
          <w:lang w:val="sv-SE"/>
        </w:rPr>
        <w:t>ningspraxis avdragits som utgifter för inkomstens förvärvande, om de grundar sig på Finlands Kommunförbunds rekommendation som nämns i det gällande kollektivavtalet.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Löntagaren får emellertid göra avdrag för inkomstens f</w:t>
      </w:r>
      <w:r>
        <w:rPr>
          <w:b w:val="0"/>
          <w:bCs w:val="0"/>
          <w:lang w:val="sv-SE"/>
        </w:rPr>
        <w:t>örvärvande endast till den del som utgifterna överstiger det belopp för avdrag för inkomstens förvärvande som nämns i 95 § i</w:t>
      </w:r>
      <w:r>
        <w:rPr>
          <w:b w:val="0"/>
          <w:bCs w:val="0"/>
          <w:lang w:val="sv-SE"/>
        </w:rPr>
        <w:t>n</w:t>
      </w:r>
      <w:r>
        <w:rPr>
          <w:b w:val="0"/>
          <w:bCs w:val="0"/>
          <w:lang w:val="sv-SE"/>
        </w:rPr>
        <w:t>komstskattelagen (år 2003 är avdraget 590 €, dock högst löneinkomstens belopp).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 xml:space="preserve">Om den erlagda kostnadsersättningen överstiger den </w:t>
      </w:r>
      <w:r>
        <w:rPr>
          <w:b w:val="0"/>
          <w:bCs w:val="0"/>
          <w:lang w:val="sv-SE"/>
        </w:rPr>
        <w:t>reko</w:t>
      </w:r>
      <w:r>
        <w:rPr>
          <w:b w:val="0"/>
          <w:bCs w:val="0"/>
          <w:lang w:val="sv-SE"/>
        </w:rPr>
        <w:t>m</w:t>
      </w:r>
      <w:r>
        <w:rPr>
          <w:b w:val="0"/>
          <w:bCs w:val="0"/>
          <w:lang w:val="sv-SE"/>
        </w:rPr>
        <w:t>menderade ersättningen eller om utgifterna överstiger den kostnadse</w:t>
      </w:r>
      <w:r>
        <w:rPr>
          <w:b w:val="0"/>
          <w:bCs w:val="0"/>
          <w:lang w:val="sv-SE"/>
        </w:rPr>
        <w:t>r</w:t>
      </w:r>
      <w:r>
        <w:rPr>
          <w:b w:val="0"/>
          <w:bCs w:val="0"/>
          <w:lang w:val="sv-SE"/>
        </w:rPr>
        <w:t>sättning som erlagts på basis av rekommendationen, avdras utgifterna för inkomstens förvärvande med stöd av särskild utredning.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Högsta förvaltningsdomstolen har i sitt beslut (HFD 19</w:t>
      </w:r>
      <w:r>
        <w:rPr>
          <w:b w:val="0"/>
          <w:bCs w:val="0"/>
          <w:lang w:val="sv-SE"/>
        </w:rPr>
        <w:t>83-B-II-569) fas</w:t>
      </w:r>
      <w:r>
        <w:rPr>
          <w:b w:val="0"/>
          <w:bCs w:val="0"/>
          <w:lang w:val="sv-SE"/>
        </w:rPr>
        <w:t>t</w:t>
      </w:r>
      <w:r>
        <w:rPr>
          <w:b w:val="0"/>
          <w:bCs w:val="0"/>
          <w:lang w:val="sv-SE"/>
        </w:rPr>
        <w:t>ställt att familjedagvårdare utöver kostnadsersättningen inte kan göra s</w:t>
      </w:r>
      <w:r>
        <w:rPr>
          <w:b w:val="0"/>
          <w:bCs w:val="0"/>
          <w:lang w:val="sv-SE"/>
        </w:rPr>
        <w:t>å</w:t>
      </w:r>
      <w:r>
        <w:rPr>
          <w:b w:val="0"/>
          <w:bCs w:val="0"/>
          <w:lang w:val="sv-SE"/>
        </w:rPr>
        <w:t>dana lönekostnadsavdrag som avses i 28 § inkomstskattelagen.</w:t>
      </w:r>
    </w:p>
    <w:p w:rsidR="00000000" w:rsidRDefault="00CA7F00">
      <w:pPr>
        <w:ind w:left="2596"/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Finlands Kommunförbund rekommenderar, efter fö</w:t>
      </w:r>
      <w:r>
        <w:rPr>
          <w:b w:val="0"/>
          <w:bCs w:val="0"/>
          <w:lang w:val="sv-SE"/>
        </w:rPr>
        <w:t>rhandlingar med Kommunala arbetsmarknadsverket och Kommunfackets union r.f., att familjedagvårdare som arbetar i det egna hemmet inom den kommunala familjedagvården 1.1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–31.12. 2003 skall betalas kostnadsersättningar som räknas ut på basis av följande pris</w:t>
      </w:r>
      <w:r>
        <w:rPr>
          <w:b w:val="0"/>
          <w:bCs w:val="0"/>
          <w:lang w:val="sv-SE"/>
        </w:rPr>
        <w:t xml:space="preserve"> per enhet.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Det är meningen att ersättningarna i sin helhet skall täcka de faktiska kostnaderna för vården.</w:t>
      </w:r>
    </w:p>
    <w:p w:rsidR="00000000" w:rsidRDefault="00CA7F00">
      <w:pPr>
        <w:tabs>
          <w:tab w:val="left" w:pos="6946"/>
        </w:tabs>
        <w:outlineLvl w:val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Barn under/i skolåldern</w:t>
      </w:r>
    </w:p>
    <w:p w:rsidR="000000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frukost, mellanmål eller lätt kvällsmåltid, €</w:t>
      </w:r>
      <w:r>
        <w:rPr>
          <w:b w:val="0"/>
          <w:bCs w:val="0"/>
        </w:rPr>
        <w:tab/>
        <w:t>0,56/0,72</w:t>
      </w:r>
    </w:p>
    <w:p w:rsidR="000000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lunch eller middag, €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1,32/1,71</w:t>
      </w:r>
    </w:p>
    <w:p w:rsidR="000000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övriga kostnader, €/dag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1,47/1,47</w:t>
      </w:r>
    </w:p>
    <w:p w:rsidR="00000000" w:rsidRDefault="00CA7F00">
      <w:pPr>
        <w:ind w:left="2596"/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lastRenderedPageBreak/>
        <w:t>Om det inte är fråga om heldagsvård, räknas den del som gäller övriga utgifter ut anpassad till hur lång den dagliga vårdtiden är och vilken tid på dygnet den infaller.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 w:hanging="2596"/>
        <w:rPr>
          <w:b w:val="0"/>
          <w:bCs w:val="0"/>
        </w:rPr>
      </w:pPr>
      <w:r>
        <w:rPr>
          <w:b w:val="0"/>
          <w:bCs w:val="0"/>
          <w:lang w:val="sv-SE"/>
        </w:rPr>
        <w:t>Övrig familjevård</w:t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Rekommendationen om kostnadsersättning gäller endast fa</w:t>
      </w:r>
      <w:r>
        <w:rPr>
          <w:b w:val="0"/>
          <w:bCs w:val="0"/>
          <w:lang w:val="sv-SE"/>
        </w:rPr>
        <w:t>miljedagvård som ordnas av familjedagvårdaren i det egna hemmet.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Avdraget för u</w:t>
      </w:r>
      <w:r>
        <w:rPr>
          <w:b w:val="0"/>
          <w:bCs w:val="0"/>
          <w:lang w:val="sv-SE"/>
        </w:rPr>
        <w:t>t</w:t>
      </w:r>
      <w:r>
        <w:rPr>
          <w:b w:val="0"/>
          <w:bCs w:val="0"/>
          <w:lang w:val="sv-SE"/>
        </w:rPr>
        <w:t>gifter för inkomstens förvärvande utan att särskilda verifikat företes, gä</w:t>
      </w:r>
      <w:r>
        <w:rPr>
          <w:b w:val="0"/>
          <w:bCs w:val="0"/>
          <w:lang w:val="sv-SE"/>
        </w:rPr>
        <w:t>l</w:t>
      </w:r>
      <w:r>
        <w:rPr>
          <w:b w:val="0"/>
          <w:bCs w:val="0"/>
          <w:lang w:val="sv-SE"/>
        </w:rPr>
        <w:t>ler enligt gängse beskattningspraxis endast familjedagvårdare.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Särskilda utredningar och verifikat bö</w:t>
      </w:r>
      <w:r>
        <w:rPr>
          <w:b w:val="0"/>
          <w:bCs w:val="0"/>
          <w:lang w:val="sv-SE"/>
        </w:rPr>
        <w:t>r företes för att familjerna skall få ersättning för de faktiska livsmedelskostnaderna.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Enligt lagen om barndagvård e</w:t>
      </w:r>
      <w:r>
        <w:rPr>
          <w:b w:val="0"/>
          <w:bCs w:val="0"/>
          <w:lang w:val="sv-SE"/>
        </w:rPr>
        <w:t>r</w:t>
      </w:r>
      <w:r>
        <w:rPr>
          <w:b w:val="0"/>
          <w:bCs w:val="0"/>
          <w:lang w:val="sv-SE"/>
        </w:rPr>
        <w:t>sätts familjerna inte för andra kostnader än livsmedelskostnader.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Om familjedagvård ordnas för barn från samma familj i deras eget hem, b</w:t>
      </w:r>
      <w:r>
        <w:rPr>
          <w:b w:val="0"/>
          <w:bCs w:val="0"/>
          <w:lang w:val="sv-SE"/>
        </w:rPr>
        <w:t>etalas inga kostnadsersättningar enligt 2 b § lagen om barndagvård (1119/85).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Däremot erläggs kostnadsersättning till den familj eller de familjer som svarar för måltiderna för samtliga barn som är i vård, föru</w:t>
      </w:r>
      <w:r>
        <w:rPr>
          <w:b w:val="0"/>
          <w:bCs w:val="0"/>
          <w:lang w:val="sv-SE"/>
        </w:rPr>
        <w:t>t</w:t>
      </w:r>
      <w:r>
        <w:rPr>
          <w:b w:val="0"/>
          <w:bCs w:val="0"/>
          <w:lang w:val="sv-SE"/>
        </w:rPr>
        <w:t>satt att samtliga barn inte är barn i samma f</w:t>
      </w:r>
      <w:r>
        <w:rPr>
          <w:b w:val="0"/>
          <w:bCs w:val="0"/>
          <w:lang w:val="sv-SE"/>
        </w:rPr>
        <w:t>amilj.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Dagvårdarens måltider skall antingen barnets föräldrar och dagvårdaren eller kommunen eller föräldrarna och dagvårdaren sinsemellan komma överens om, särskilt från fall till fall.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Inom familjedagvården i grupp betalas inga kostnadsersättningar i d</w:t>
      </w:r>
      <w:r>
        <w:rPr>
          <w:b w:val="0"/>
          <w:bCs w:val="0"/>
          <w:lang w:val="sv-SE"/>
        </w:rPr>
        <w:t>e fall där kommunen för detta ändamål anskaffar livsmedel och andra förn</w:t>
      </w:r>
      <w:r>
        <w:rPr>
          <w:b w:val="0"/>
          <w:bCs w:val="0"/>
          <w:lang w:val="sv-SE"/>
        </w:rPr>
        <w:t>ö</w:t>
      </w:r>
      <w:r>
        <w:rPr>
          <w:b w:val="0"/>
          <w:bCs w:val="0"/>
          <w:lang w:val="sv-SE"/>
        </w:rPr>
        <w:t>denheter.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outlineLvl w:val="0"/>
        <w:rPr>
          <w:b w:val="0"/>
          <w:bCs w:val="0"/>
        </w:rPr>
      </w:pPr>
      <w:r>
        <w:rPr>
          <w:b w:val="0"/>
          <w:bCs w:val="0"/>
          <w:lang w:val="sv-SE"/>
        </w:rPr>
        <w:t>Måltider som serveras på dagvårdsplatsen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Enligt 2 b § lagen om barndagvård skall behövligt kosthåll ordnas för barnet på vårdplatsen.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Då vårdförhållandet inleds skall komm</w:t>
      </w:r>
      <w:r>
        <w:rPr>
          <w:b w:val="0"/>
          <w:bCs w:val="0"/>
          <w:lang w:val="sv-SE"/>
        </w:rPr>
        <w:t>unen i vå</w:t>
      </w:r>
      <w:r>
        <w:rPr>
          <w:b w:val="0"/>
          <w:bCs w:val="0"/>
          <w:lang w:val="sv-SE"/>
        </w:rPr>
        <w:t>r</w:t>
      </w:r>
      <w:r>
        <w:rPr>
          <w:b w:val="0"/>
          <w:bCs w:val="0"/>
          <w:lang w:val="sv-SE"/>
        </w:rPr>
        <w:t>davtalet bestämma vilka måltider som skall serveras barnet på vårdpla</w:t>
      </w:r>
      <w:r>
        <w:rPr>
          <w:b w:val="0"/>
          <w:bCs w:val="0"/>
          <w:lang w:val="sv-SE"/>
        </w:rPr>
        <w:t>t</w:t>
      </w:r>
      <w:r>
        <w:rPr>
          <w:b w:val="0"/>
          <w:bCs w:val="0"/>
          <w:lang w:val="sv-SE"/>
        </w:rPr>
        <w:t>sen.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Antalet måltider beror på den dagliga vårdtiden.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Ändringar i vår</w:t>
      </w:r>
      <w:r>
        <w:rPr>
          <w:b w:val="0"/>
          <w:bCs w:val="0"/>
          <w:lang w:val="sv-SE"/>
        </w:rPr>
        <w:t>d</w:t>
      </w:r>
      <w:r>
        <w:rPr>
          <w:b w:val="0"/>
          <w:bCs w:val="0"/>
          <w:lang w:val="sv-SE"/>
        </w:rPr>
        <w:t>avtalet kan förutsätta att också antalet måltider justeras.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Kostnadsersättningarna för det behövliga kost</w:t>
      </w:r>
      <w:r>
        <w:rPr>
          <w:b w:val="0"/>
          <w:bCs w:val="0"/>
          <w:lang w:val="sv-SE"/>
        </w:rPr>
        <w:t>hållet som ordnas i vården bildas genom att räkna ihop de ovan nämnda priserna per enhet för de måltider som ingår i vårdavtalet. Ersättningens belopp kan variera ber</w:t>
      </w:r>
      <w:r>
        <w:rPr>
          <w:b w:val="0"/>
          <w:bCs w:val="0"/>
          <w:lang w:val="sv-SE"/>
        </w:rPr>
        <w:t>o</w:t>
      </w:r>
      <w:r>
        <w:rPr>
          <w:b w:val="0"/>
          <w:bCs w:val="0"/>
          <w:lang w:val="sv-SE"/>
        </w:rPr>
        <w:t>ende på hur lång den dagliga vårdtiden är och vilken tid på dygnet den infaller.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 w:hanging="2596"/>
        <w:rPr>
          <w:b w:val="0"/>
          <w:bCs w:val="0"/>
        </w:rPr>
      </w:pPr>
      <w:r>
        <w:rPr>
          <w:b w:val="0"/>
          <w:bCs w:val="0"/>
          <w:lang w:val="sv-SE"/>
        </w:rPr>
        <w:t>Skolbar</w:t>
      </w:r>
      <w:r>
        <w:rPr>
          <w:b w:val="0"/>
          <w:bCs w:val="0"/>
          <w:lang w:val="sv-SE"/>
        </w:rPr>
        <w:t>n</w:t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Näringsbehovet för ett barn i skolåldern har beräknats vara i snitt 30 % högre än för ett 4-årigt barn.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Detta har beaktats i rekommendationen om kostnadsersättningar för dagvård av skolbarn.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 w:hanging="2596"/>
        <w:rPr>
          <w:b w:val="0"/>
          <w:bCs w:val="0"/>
        </w:rPr>
      </w:pPr>
      <w:r>
        <w:rPr>
          <w:b w:val="0"/>
          <w:bCs w:val="0"/>
          <w:lang w:val="sv-SE"/>
        </w:rPr>
        <w:t>Specialdieter</w:t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Specialdieter skall ordnas för barn av hälsoskäl</w:t>
      </w:r>
      <w:r>
        <w:rPr>
          <w:b w:val="0"/>
          <w:bCs w:val="0"/>
          <w:lang w:val="sv-SE"/>
        </w:rPr>
        <w:t xml:space="preserve"> och på grunder som nämns i 2 a § lagen om barndagvård.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Behovet och serveringen av spec</w:t>
      </w:r>
      <w:r>
        <w:rPr>
          <w:b w:val="0"/>
          <w:bCs w:val="0"/>
          <w:lang w:val="sv-SE"/>
        </w:rPr>
        <w:t>i</w:t>
      </w:r>
      <w:r>
        <w:rPr>
          <w:b w:val="0"/>
          <w:bCs w:val="0"/>
          <w:lang w:val="sv-SE"/>
        </w:rPr>
        <w:t>aldieter skall fastställas i vårdavtalet.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Samtidigt skall man uppskatta om specialdieten föranleder extra kostnader i ordnandet av vården.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Då det gäller de vanligaste s</w:t>
      </w:r>
      <w:r>
        <w:rPr>
          <w:b w:val="0"/>
          <w:bCs w:val="0"/>
          <w:lang w:val="sv-SE"/>
        </w:rPr>
        <w:t>pecialdieterna, skall kostnaderna för dem höjas med högst 30 % jämfört med kostnaderna för en normal matordning.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Då det är fråga om en kostnadsdryg specialdiet, som fö</w:t>
      </w:r>
      <w:r>
        <w:rPr>
          <w:b w:val="0"/>
          <w:bCs w:val="0"/>
          <w:lang w:val="sv-SE"/>
        </w:rPr>
        <w:t>ranleds av t.ex. celiaki eller av en kombination av flera olika sjukdomar, skall de extra kostnaderna fastställas från fall till fall enligt de faktiska kostnaderna.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En särskild utredning om de extra kostnaderna skall tillställas skattemy</w:t>
      </w:r>
      <w:r>
        <w:rPr>
          <w:b w:val="0"/>
          <w:bCs w:val="0"/>
          <w:lang w:val="sv-SE"/>
        </w:rPr>
        <w:t>n</w:t>
      </w:r>
      <w:r>
        <w:rPr>
          <w:b w:val="0"/>
          <w:bCs w:val="0"/>
          <w:lang w:val="sv-SE"/>
        </w:rPr>
        <w:t>digheten.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Beslute</w:t>
      </w:r>
      <w:r>
        <w:rPr>
          <w:b w:val="0"/>
          <w:bCs w:val="0"/>
          <w:lang w:val="sv-SE"/>
        </w:rPr>
        <w:t>t om dieten skall i detta sammanhang fattas av den b</w:t>
      </w:r>
      <w:r>
        <w:rPr>
          <w:b w:val="0"/>
          <w:bCs w:val="0"/>
          <w:lang w:val="sv-SE"/>
        </w:rPr>
        <w:t>e</w:t>
      </w:r>
      <w:r>
        <w:rPr>
          <w:b w:val="0"/>
          <w:bCs w:val="0"/>
          <w:lang w:val="sv-SE"/>
        </w:rPr>
        <w:t>handlande läkaren och/eller en näringsexpert.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Enligt 2 b § lagen om barndagvård gäller kostnadsersättningarna inte kl</w:t>
      </w:r>
      <w:r>
        <w:rPr>
          <w:b w:val="0"/>
          <w:bCs w:val="0"/>
          <w:lang w:val="sv-SE"/>
        </w:rPr>
        <w:t>i</w:t>
      </w:r>
      <w:r>
        <w:rPr>
          <w:b w:val="0"/>
          <w:bCs w:val="0"/>
          <w:lang w:val="sv-SE"/>
        </w:rPr>
        <w:t>niska näringspreparat eller produkter som kan jämföras med dem (t.ex. modersmjölkssu</w:t>
      </w:r>
      <w:r>
        <w:rPr>
          <w:b w:val="0"/>
          <w:bCs w:val="0"/>
          <w:lang w:val="sv-SE"/>
        </w:rPr>
        <w:t>rrogat eller produkter som ersätter komjölk), vilka e</w:t>
      </w:r>
      <w:r>
        <w:rPr>
          <w:b w:val="0"/>
          <w:bCs w:val="0"/>
          <w:lang w:val="sv-SE"/>
        </w:rPr>
        <w:t>r</w:t>
      </w:r>
      <w:r>
        <w:rPr>
          <w:b w:val="0"/>
          <w:bCs w:val="0"/>
          <w:lang w:val="sv-SE"/>
        </w:rPr>
        <w:t>sätts med stöd av 5 a § sjukförsäkringslagen (364/63).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 w:hanging="2596"/>
        <w:rPr>
          <w:b w:val="0"/>
          <w:bCs w:val="0"/>
        </w:rPr>
      </w:pPr>
      <w:r>
        <w:rPr>
          <w:b w:val="0"/>
          <w:bCs w:val="0"/>
          <w:lang w:val="sv-SE"/>
        </w:rPr>
        <w:t>Övriga kostnader</w:t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Kostnadsersättningarna för övriga utgifter i rekommendationen gäller ersättning för andra sedvanliga kostnader än livsmedelskostn</w:t>
      </w:r>
      <w:r>
        <w:rPr>
          <w:b w:val="0"/>
          <w:bCs w:val="0"/>
          <w:lang w:val="sv-SE"/>
        </w:rPr>
        <w:t>ader, dvs. för användning av lägenheten, el, vatten, värme, hobbymaterial, telefo</w:t>
      </w:r>
      <w:r>
        <w:rPr>
          <w:b w:val="0"/>
          <w:bCs w:val="0"/>
          <w:lang w:val="sv-SE"/>
        </w:rPr>
        <w:t>n</w:t>
      </w:r>
      <w:r>
        <w:rPr>
          <w:b w:val="0"/>
          <w:bCs w:val="0"/>
          <w:lang w:val="sv-SE"/>
        </w:rPr>
        <w:t>samtal i anslutning till dagvården etc.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Ersättning betalas inte för utgifter för arbetskläder eller specialanskaf</w:t>
      </w:r>
      <w:r>
        <w:rPr>
          <w:b w:val="0"/>
          <w:bCs w:val="0"/>
          <w:lang w:val="sv-SE"/>
        </w:rPr>
        <w:t>f</w:t>
      </w:r>
      <w:r>
        <w:rPr>
          <w:b w:val="0"/>
          <w:bCs w:val="0"/>
          <w:lang w:val="sv-SE"/>
        </w:rPr>
        <w:t>ningar, som sanering av lägenheten på grund av t.ex. allerg</w:t>
      </w:r>
      <w:r>
        <w:rPr>
          <w:b w:val="0"/>
          <w:bCs w:val="0"/>
          <w:lang w:val="sv-SE"/>
        </w:rPr>
        <w:t>i hos ett barn i dagvård, inköp av sittvagn för tvillingar eller av barnstolar m.m.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Barndagvården har under de senaste åren utvecklats så att familjeda</w:t>
      </w:r>
      <w:r>
        <w:rPr>
          <w:b w:val="0"/>
          <w:bCs w:val="0"/>
          <w:lang w:val="sv-SE"/>
        </w:rPr>
        <w:t>g</w:t>
      </w:r>
      <w:r>
        <w:rPr>
          <w:b w:val="0"/>
          <w:bCs w:val="0"/>
          <w:lang w:val="sv-SE"/>
        </w:rPr>
        <w:t>vården och daghemmen samverkar och stödjer och kompletterar varan</w:t>
      </w:r>
      <w:r>
        <w:rPr>
          <w:b w:val="0"/>
          <w:bCs w:val="0"/>
          <w:lang w:val="sv-SE"/>
        </w:rPr>
        <w:t>d</w:t>
      </w:r>
      <w:r>
        <w:rPr>
          <w:b w:val="0"/>
          <w:bCs w:val="0"/>
          <w:lang w:val="sv-SE"/>
        </w:rPr>
        <w:t>ras tjänster.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Kommunförbundet rekomm</w:t>
      </w:r>
      <w:r>
        <w:rPr>
          <w:b w:val="0"/>
          <w:bCs w:val="0"/>
          <w:lang w:val="sv-SE"/>
        </w:rPr>
        <w:t>enderar att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numPr>
          <w:ilvl w:val="0"/>
          <w:numId w:val="3"/>
        </w:numPr>
        <w:ind w:left="3132"/>
        <w:rPr>
          <w:b w:val="0"/>
          <w:bCs w:val="0"/>
        </w:rPr>
      </w:pPr>
      <w:r>
        <w:rPr>
          <w:b w:val="0"/>
          <w:bCs w:val="0"/>
          <w:lang w:val="sv-SE"/>
        </w:rPr>
        <w:t>man i familjedagvården och daghemmen i mån av möjlighet a</w:t>
      </w:r>
      <w:r>
        <w:rPr>
          <w:b w:val="0"/>
          <w:bCs w:val="0"/>
          <w:lang w:val="sv-SE"/>
        </w:rPr>
        <w:t>n</w:t>
      </w:r>
      <w:r>
        <w:rPr>
          <w:b w:val="0"/>
          <w:bCs w:val="0"/>
          <w:lang w:val="sv-SE"/>
        </w:rPr>
        <w:t>vänder gemensam utrustning och/eller</w:t>
      </w:r>
    </w:p>
    <w:p w:rsidR="00000000" w:rsidRDefault="00CA7F00">
      <w:pPr>
        <w:ind w:left="2596"/>
        <w:rPr>
          <w:b w:val="0"/>
          <w:bCs w:val="0"/>
        </w:rPr>
      </w:pPr>
    </w:p>
    <w:p w:rsidR="00000000" w:rsidRDefault="00CA7F00">
      <w:pPr>
        <w:numPr>
          <w:ilvl w:val="0"/>
          <w:numId w:val="3"/>
        </w:numPr>
        <w:ind w:left="3132"/>
        <w:rPr>
          <w:b w:val="0"/>
          <w:bCs w:val="0"/>
        </w:rPr>
      </w:pPr>
      <w:r>
        <w:rPr>
          <w:b w:val="0"/>
          <w:bCs w:val="0"/>
          <w:lang w:val="sv-SE"/>
        </w:rPr>
        <w:t>kommunen ordnar utlåning av leksaker.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ind w:left="2596"/>
        <w:rPr>
          <w:b w:val="0"/>
          <w:bCs w:val="0"/>
        </w:rPr>
      </w:pPr>
      <w:r>
        <w:rPr>
          <w:b w:val="0"/>
          <w:bCs w:val="0"/>
          <w:lang w:val="sv-SE"/>
        </w:rPr>
        <w:t>För att nå de mål för barnens fostran som uppställts i lagen om barnda</w:t>
      </w:r>
      <w:r>
        <w:rPr>
          <w:b w:val="0"/>
          <w:bCs w:val="0"/>
          <w:lang w:val="sv-SE"/>
        </w:rPr>
        <w:t>g</w:t>
      </w:r>
      <w:r>
        <w:rPr>
          <w:b w:val="0"/>
          <w:bCs w:val="0"/>
          <w:lang w:val="sv-SE"/>
        </w:rPr>
        <w:t>vård, kan kommunen utöver detta o</w:t>
      </w:r>
      <w:r>
        <w:rPr>
          <w:b w:val="0"/>
          <w:bCs w:val="0"/>
          <w:lang w:val="sv-SE"/>
        </w:rPr>
        <w:t>rdna kulturella tjänster och annat program som utvecklar barnen, t.ex. utflykter, resor och exkursioner.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v-SE"/>
        </w:rPr>
        <w:t>Om betalning eller ersättning av kostnaderna för dessa aktiviteter beslutar respektive kommun utgående från de lokala förhållandena.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rPr>
          <w:b w:val="0"/>
          <w:bCs w:val="0"/>
        </w:rPr>
      </w:pPr>
    </w:p>
    <w:p w:rsidR="00000000" w:rsidRDefault="00CA7F00">
      <w:pPr>
        <w:outlineLvl w:val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FINLANDS KOMMU</w:t>
      </w:r>
      <w:r>
        <w:rPr>
          <w:b w:val="0"/>
          <w:bCs w:val="0"/>
          <w:lang w:val="sv-SE"/>
        </w:rPr>
        <w:t>NFÖRBUND</w:t>
      </w:r>
    </w:p>
    <w:p w:rsidR="00000000" w:rsidRDefault="00CA7F00">
      <w:pPr>
        <w:rPr>
          <w:b w:val="0"/>
          <w:bCs w:val="0"/>
        </w:rPr>
      </w:pPr>
    </w:p>
    <w:p w:rsidR="00000000" w:rsidRDefault="00CA7F00">
      <w:pPr>
        <w:rPr>
          <w:b w:val="0"/>
          <w:bCs w:val="0"/>
        </w:rPr>
      </w:pPr>
    </w:p>
    <w:p w:rsidR="00000000" w:rsidRDefault="00CA7F00">
      <w:pPr>
        <w:rPr>
          <w:b w:val="0"/>
          <w:bCs w:val="0"/>
        </w:rPr>
      </w:pPr>
    </w:p>
    <w:p w:rsidR="000000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Pekka Alanen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Matti Liukko</w:t>
      </w:r>
    </w:p>
    <w:p w:rsidR="000000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vice verkställande direktör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chef för enheten,</w:t>
      </w:r>
    </w:p>
    <w:p w:rsidR="00CA7F00" w:rsidRDefault="00CA7F00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sv-SE"/>
        </w:rPr>
        <w:t>social- och hälsovård</w:t>
      </w:r>
    </w:p>
    <w:sectPr w:rsidR="00CA7F00">
      <w:headerReference w:type="first" r:id="rId9"/>
      <w:pgSz w:w="11905" w:h="16837"/>
      <w:pgMar w:top="1418" w:right="1134" w:bottom="1134" w:left="1134" w:header="851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00" w:rsidRDefault="00CA7F00">
      <w:r>
        <w:separator/>
      </w:r>
    </w:p>
  </w:endnote>
  <w:endnote w:type="continuationSeparator" w:id="0">
    <w:p w:rsidR="00CA7F00" w:rsidRDefault="00CA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00" w:rsidRDefault="00CA7F00">
      <w:r>
        <w:separator/>
      </w:r>
    </w:p>
  </w:footnote>
  <w:footnote w:type="continuationSeparator" w:id="0">
    <w:p w:rsidR="00CA7F00" w:rsidRDefault="00CA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7F00">
    <w:pPr>
      <w:pStyle w:val="Yltunniste"/>
      <w:framePr w:wrap="auto" w:vAnchor="text" w:hAnchor="margin" w:xAlign="right" w:y="1"/>
      <w:rPr>
        <w:rStyle w:val="Sivunumero"/>
        <w:b w:val="0"/>
        <w:bCs w:val="0"/>
      </w:rPr>
    </w:pPr>
    <w:r>
      <w:rPr>
        <w:rStyle w:val="Sivunumero"/>
        <w:b w:val="0"/>
        <w:bCs w:val="0"/>
      </w:rPr>
      <w:fldChar w:fldCharType="begin"/>
    </w:r>
    <w:r>
      <w:rPr>
        <w:rStyle w:val="Sivunumero"/>
        <w:b w:val="0"/>
        <w:bCs w:val="0"/>
      </w:rPr>
      <w:instrText xml:space="preserve">PAGE  </w:instrText>
    </w:r>
    <w:r>
      <w:rPr>
        <w:rStyle w:val="Sivunumero"/>
        <w:b w:val="0"/>
        <w:bCs w:val="0"/>
      </w:rPr>
      <w:fldChar w:fldCharType="separate"/>
    </w:r>
    <w:r w:rsidR="006A3614">
      <w:rPr>
        <w:rStyle w:val="Sivunumero"/>
        <w:b w:val="0"/>
        <w:bCs w:val="0"/>
        <w:noProof/>
      </w:rPr>
      <w:t>4</w:t>
    </w:r>
    <w:r>
      <w:rPr>
        <w:rStyle w:val="Sivunumero"/>
        <w:b w:val="0"/>
        <w:bCs w:val="0"/>
      </w:rPr>
      <w:fldChar w:fldCharType="end"/>
    </w:r>
  </w:p>
  <w:p w:rsidR="00000000" w:rsidRDefault="00CA7F0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7F00">
    <w:pPr>
      <w:pStyle w:val="Yltunniste"/>
      <w:jc w:val="right"/>
      <w:rPr>
        <w:b w:val="0"/>
        <w:bCs w:val="0"/>
      </w:rPr>
    </w:pPr>
    <w:r>
      <w:rPr>
        <w:rStyle w:val="Sivunumero"/>
        <w:b w:val="0"/>
        <w:bCs w:val="0"/>
      </w:rPr>
      <w:fldChar w:fldCharType="begin"/>
    </w:r>
    <w:r>
      <w:rPr>
        <w:rStyle w:val="Sivunumero"/>
        <w:b w:val="0"/>
        <w:bCs w:val="0"/>
      </w:rPr>
      <w:instrText xml:space="preserve"> PAGE </w:instrText>
    </w:r>
    <w:r>
      <w:rPr>
        <w:rStyle w:val="Sivunumero"/>
        <w:b w:val="0"/>
        <w:bCs w:val="0"/>
      </w:rPr>
      <w:fldChar w:fldCharType="separate"/>
    </w:r>
    <w:r w:rsidR="006A3614">
      <w:rPr>
        <w:rStyle w:val="Sivunumero"/>
        <w:b w:val="0"/>
        <w:bCs w:val="0"/>
        <w:noProof/>
      </w:rPr>
      <w:t>2</w:t>
    </w:r>
    <w:r>
      <w:rPr>
        <w:rStyle w:val="Sivunumero"/>
        <w:b w:val="0"/>
        <w:bCs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F12"/>
    <w:multiLevelType w:val="multilevel"/>
    <w:tmpl w:val="4816EC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>
    <w:nsid w:val="108164CE"/>
    <w:multiLevelType w:val="multilevel"/>
    <w:tmpl w:val="FE4AECFC"/>
    <w:lvl w:ilvl="0">
      <w:start w:val="1"/>
      <w:numFmt w:val="bullet"/>
      <w:lvlText w:val=""/>
      <w:lvlJc w:val="left"/>
      <w:pPr>
        <w:tabs>
          <w:tab w:val="num" w:pos="536"/>
        </w:tabs>
        <w:ind w:left="536" w:hanging="536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85152D"/>
    <w:multiLevelType w:val="multilevel"/>
    <w:tmpl w:val="4816EC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298"/>
  <w:autoHyphenation/>
  <w:hyphenationZone w:val="301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14"/>
    <w:rsid w:val="006A3614"/>
    <w:rsid w:val="00C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ind w:left="2596"/>
      <w:outlineLvl w:val="0"/>
    </w:pPr>
    <w:rPr>
      <w:b w:val="0"/>
      <w:bCs w:val="0"/>
      <w:u w:val="single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character" w:styleId="Sivunumero">
    <w:name w:val="page number"/>
    <w:basedOn w:val="Kappaleenoletusfontti"/>
    <w:uiPriority w:val="99"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pPr>
      <w:ind w:left="2596"/>
    </w:pPr>
    <w:rPr>
      <w:b w:val="0"/>
      <w:bCs w:val="0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pPr>
      <w:ind w:left="1298"/>
    </w:pPr>
    <w:rPr>
      <w:b w:val="0"/>
      <w:bCs w:val="0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paragraph" w:customStyle="1" w:styleId="1AutoList1">
    <w:name w:val="1AutoList1"/>
    <w:uiPriority w:val="99"/>
    <w:pPr>
      <w:tabs>
        <w:tab w:val="left" w:pos="720"/>
      </w:tabs>
      <w:autoSpaceDE w:val="0"/>
      <w:autoSpaceDN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 w:cs="Courier New"/>
      <w:color w:val="800000"/>
    </w:rPr>
  </w:style>
  <w:style w:type="paragraph" w:styleId="Asiakirjanrakenneruutu">
    <w:name w:val="Document Map"/>
    <w:basedOn w:val="Normaali"/>
    <w:link w:val="Asiakirjanrakenneruu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ind w:left="2596"/>
      <w:outlineLvl w:val="0"/>
    </w:pPr>
    <w:rPr>
      <w:b w:val="0"/>
      <w:bCs w:val="0"/>
      <w:u w:val="single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character" w:styleId="Sivunumero">
    <w:name w:val="page number"/>
    <w:basedOn w:val="Kappaleenoletusfontti"/>
    <w:uiPriority w:val="99"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pPr>
      <w:ind w:left="2596"/>
    </w:pPr>
    <w:rPr>
      <w:b w:val="0"/>
      <w:bCs w:val="0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pPr>
      <w:ind w:left="1298"/>
    </w:pPr>
    <w:rPr>
      <w:b w:val="0"/>
      <w:bCs w:val="0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Pr>
      <w:rFonts w:ascii="Times New Roman" w:hAnsi="Times New Roman" w:cs="Times New Roman"/>
      <w:b/>
      <w:bCs/>
      <w:sz w:val="24"/>
      <w:szCs w:val="24"/>
    </w:rPr>
  </w:style>
  <w:style w:type="paragraph" w:customStyle="1" w:styleId="1AutoList1">
    <w:name w:val="1AutoList1"/>
    <w:uiPriority w:val="99"/>
    <w:pPr>
      <w:tabs>
        <w:tab w:val="left" w:pos="720"/>
      </w:tabs>
      <w:autoSpaceDE w:val="0"/>
      <w:autoSpaceDN w:val="0"/>
      <w:spacing w:after="0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 w:cs="Courier New"/>
      <w:color w:val="800000"/>
    </w:rPr>
  </w:style>
  <w:style w:type="paragraph" w:styleId="Asiakirjanrakenneruutu">
    <w:name w:val="Document Map"/>
    <w:basedOn w:val="Normaali"/>
    <w:link w:val="Asiakirjanrakenneruu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7321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</vt:lpstr>
    </vt:vector>
  </TitlesOfParts>
  <Company>Suomen Kuntaliitto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huhtasi</dc:creator>
  <cp:lastModifiedBy>Suhonen Victor</cp:lastModifiedBy>
  <cp:revision>2</cp:revision>
  <cp:lastPrinted>2002-12-16T08:07:00Z</cp:lastPrinted>
  <dcterms:created xsi:type="dcterms:W3CDTF">2017-02-01T10:48:00Z</dcterms:created>
  <dcterms:modified xsi:type="dcterms:W3CDTF">2017-02-01T10:48:00Z</dcterms:modified>
</cp:coreProperties>
</file>