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Cirkulär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19/80/2002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H. Sahala/eg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22.11.2002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(6)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Till kommun- och stadsstyrelserna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och sam</w:t>
      </w:r>
      <w:r>
        <w:rPr>
          <w:rFonts w:ascii="Times New Roman" w:hAnsi="Times New Roman" w:cs="Times New Roman"/>
          <w:sz w:val="24"/>
          <w:szCs w:val="24"/>
          <w:lang w:val="sv-SE"/>
        </w:rPr>
        <w:t>kommunernas styrelser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8"/>
          <w:pgSz w:w="11905" w:h="16837"/>
          <w:pgMar w:top="850" w:right="1134" w:bottom="1134" w:left="1134" w:header="709" w:footer="709" w:gutter="0"/>
          <w:cols w:space="709"/>
          <w:titlePg/>
        </w:sect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Ändringar i grundavtalen för samkommuner i anknytning till rev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deri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ngen av lagstiftningen om skyddat arbete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Lagstiftningen om skyddat arbete reviderades 1.4.2002.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De bestämmelser om skyddat arbete som tidigare ingått i lagen om invalidvård upphävdes, och begreppet skyddat arbete har slopats i lagstiftningen.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Syftet med </w:t>
      </w:r>
      <w:r>
        <w:rPr>
          <w:rFonts w:ascii="Times New Roman" w:hAnsi="Times New Roman" w:cs="Times New Roman"/>
          <w:sz w:val="22"/>
          <w:szCs w:val="22"/>
          <w:lang w:val="sv-SE"/>
        </w:rPr>
        <w:t>revideringen har varit att förbättra de handikappades föru</w:t>
      </w:r>
      <w:r>
        <w:rPr>
          <w:rFonts w:ascii="Times New Roman" w:hAnsi="Times New Roman" w:cs="Times New Roman"/>
          <w:sz w:val="22"/>
          <w:szCs w:val="22"/>
          <w:lang w:val="sv-SE"/>
        </w:rPr>
        <w:t>t</w:t>
      </w:r>
      <w:r>
        <w:rPr>
          <w:rFonts w:ascii="Times New Roman" w:hAnsi="Times New Roman" w:cs="Times New Roman"/>
          <w:sz w:val="22"/>
          <w:szCs w:val="22"/>
          <w:lang w:val="sv-SE"/>
        </w:rPr>
        <w:t>sättningar att få arbete och att öka deras deltagande i arbetslivet.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Ver</w:t>
      </w:r>
      <w:r>
        <w:rPr>
          <w:rFonts w:ascii="Times New Roman" w:hAnsi="Times New Roman" w:cs="Times New Roman"/>
          <w:sz w:val="22"/>
          <w:szCs w:val="22"/>
          <w:lang w:val="sv-SE"/>
        </w:rPr>
        <w:t>k</w:t>
      </w:r>
      <w:r>
        <w:rPr>
          <w:rFonts w:ascii="Times New Roman" w:hAnsi="Times New Roman" w:cs="Times New Roman"/>
          <w:sz w:val="22"/>
          <w:szCs w:val="22"/>
          <w:lang w:val="sv-SE"/>
        </w:rPr>
        <w:t>samheten omfattar särskilda stödåtgärder som främjar handikappades möjligheter att komma ut i arbetslivet om personerna i fr</w:t>
      </w:r>
      <w:r>
        <w:rPr>
          <w:rFonts w:ascii="Times New Roman" w:hAnsi="Times New Roman" w:cs="Times New Roman"/>
          <w:sz w:val="22"/>
          <w:szCs w:val="22"/>
          <w:lang w:val="sv-SE"/>
        </w:rPr>
        <w:t>åga har svårt att få arbete enbart med hjälp av arbetskraftspolitiska åtgärder eller arbet</w:t>
      </w:r>
      <w:r>
        <w:rPr>
          <w:rFonts w:ascii="Times New Roman" w:hAnsi="Times New Roman" w:cs="Times New Roman"/>
          <w:sz w:val="22"/>
          <w:szCs w:val="22"/>
          <w:lang w:val="sv-SE"/>
        </w:rPr>
        <w:t>s</w:t>
      </w:r>
      <w:r>
        <w:rPr>
          <w:rFonts w:ascii="Times New Roman" w:hAnsi="Times New Roman" w:cs="Times New Roman"/>
          <w:sz w:val="22"/>
          <w:szCs w:val="22"/>
          <w:lang w:val="sv-SE"/>
        </w:rPr>
        <w:t>kraftsservice.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Bland annat samkommunerna för specialomsorgsdistrikten har skött a</w:t>
      </w:r>
      <w:r>
        <w:rPr>
          <w:rFonts w:ascii="Times New Roman" w:hAnsi="Times New Roman" w:cs="Times New Roman"/>
          <w:sz w:val="22"/>
          <w:szCs w:val="22"/>
          <w:lang w:val="sv-SE"/>
        </w:rPr>
        <w:t>n</w:t>
      </w:r>
      <w:r>
        <w:rPr>
          <w:rFonts w:ascii="Times New Roman" w:hAnsi="Times New Roman" w:cs="Times New Roman"/>
          <w:sz w:val="22"/>
          <w:szCs w:val="22"/>
          <w:lang w:val="sv-SE"/>
        </w:rPr>
        <w:t>ordnandet av skyddat arbete.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I grundavtalet anges skyddat arbete som samkommunens uppgift.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Eftersom man efter lagändringarna inte längre känner begreppen skyddat arbete och ”skyddat arbete enligt lagen om invalidvård” som också a</w:t>
      </w:r>
      <w:r>
        <w:rPr>
          <w:rFonts w:ascii="Times New Roman" w:hAnsi="Times New Roman" w:cs="Times New Roman"/>
          <w:sz w:val="22"/>
          <w:szCs w:val="22"/>
          <w:lang w:val="sv-SE"/>
        </w:rPr>
        <w:t>n</w:t>
      </w:r>
      <w:r>
        <w:rPr>
          <w:rFonts w:ascii="Times New Roman" w:hAnsi="Times New Roman" w:cs="Times New Roman"/>
          <w:sz w:val="22"/>
          <w:szCs w:val="22"/>
          <w:lang w:val="sv-SE"/>
        </w:rPr>
        <w:t>vänts i avtalen, bör texten i grundavtalen till denna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del ändras för att motsvara gällande lagstiftning.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Ändringen i lagstiftningen orsakar inga direkta behov av förändringar i grundavtalens bestämmelser om ekonomi.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På grund av förändringarna i verksamheten ger dock den påtagliga ö</w:t>
      </w:r>
      <w:r>
        <w:rPr>
          <w:rFonts w:ascii="Times New Roman" w:hAnsi="Times New Roman" w:cs="Times New Roman"/>
          <w:sz w:val="22"/>
          <w:szCs w:val="22"/>
          <w:lang w:val="sv-SE"/>
        </w:rPr>
        <w:t>k</w:t>
      </w:r>
      <w:r>
        <w:rPr>
          <w:rFonts w:ascii="Times New Roman" w:hAnsi="Times New Roman" w:cs="Times New Roman"/>
          <w:sz w:val="22"/>
          <w:szCs w:val="22"/>
          <w:lang w:val="sv-SE"/>
        </w:rPr>
        <w:t>ningen av pensionsavgifter anledning till att granska kostnadsförde</w:t>
      </w:r>
      <w:r>
        <w:rPr>
          <w:rFonts w:ascii="Times New Roman" w:hAnsi="Times New Roman" w:cs="Times New Roman"/>
          <w:sz w:val="22"/>
          <w:szCs w:val="22"/>
          <w:lang w:val="sv-SE"/>
        </w:rPr>
        <w:t>l</w:t>
      </w:r>
      <w:r>
        <w:rPr>
          <w:rFonts w:ascii="Times New Roman" w:hAnsi="Times New Roman" w:cs="Times New Roman"/>
          <w:sz w:val="22"/>
          <w:szCs w:val="22"/>
          <w:lang w:val="sv-SE"/>
        </w:rPr>
        <w:t>ningen och utreda olika alternativ.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I en del av samkommunerna för sp</w:t>
      </w:r>
      <w:r>
        <w:rPr>
          <w:rFonts w:ascii="Times New Roman" w:hAnsi="Times New Roman" w:cs="Times New Roman"/>
          <w:sz w:val="22"/>
          <w:szCs w:val="22"/>
          <w:lang w:val="sv-SE"/>
        </w:rPr>
        <w:t>e</w:t>
      </w:r>
      <w:r>
        <w:rPr>
          <w:rFonts w:ascii="Times New Roman" w:hAnsi="Times New Roman" w:cs="Times New Roman"/>
          <w:sz w:val="22"/>
          <w:szCs w:val="22"/>
          <w:lang w:val="sv-SE"/>
        </w:rPr>
        <w:t>cialomsorgsdistrikten har verksamheten inskränkts då medlemskomm</w:t>
      </w:r>
      <w:r>
        <w:rPr>
          <w:rFonts w:ascii="Times New Roman" w:hAnsi="Times New Roman" w:cs="Times New Roman"/>
          <w:sz w:val="22"/>
          <w:szCs w:val="22"/>
          <w:lang w:val="sv-SE"/>
        </w:rPr>
        <w:t>u</w:t>
      </w:r>
      <w:r>
        <w:rPr>
          <w:rFonts w:ascii="Times New Roman" w:hAnsi="Times New Roman" w:cs="Times New Roman"/>
          <w:sz w:val="22"/>
          <w:szCs w:val="22"/>
          <w:lang w:val="sv-SE"/>
        </w:rPr>
        <w:t>nerna överflyttat sådan service som de tidigare köpt a</w:t>
      </w:r>
      <w:r>
        <w:rPr>
          <w:rFonts w:ascii="Times New Roman" w:hAnsi="Times New Roman" w:cs="Times New Roman"/>
          <w:sz w:val="22"/>
          <w:szCs w:val="22"/>
          <w:lang w:val="sv-SE"/>
        </w:rPr>
        <w:t>v samkommunen till sin egen verksamhet.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Samkommunens lönesumma har minskat och den andel av lönesumman som omfattar den pensionsbaserade avgiften har ökat avsevärt.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Också de pensionsbaserade avgifter som orsakas av tidigare arbetstagare inom skyddat arbete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har höjt pensionsutgifterna.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I allmänhet täcks avgifterna genom att man räknar in utgifterna i prestationskostn</w:t>
      </w:r>
      <w:r>
        <w:rPr>
          <w:rFonts w:ascii="Times New Roman" w:hAnsi="Times New Roman" w:cs="Times New Roman"/>
          <w:sz w:val="22"/>
          <w:szCs w:val="22"/>
          <w:lang w:val="sv-SE"/>
        </w:rPr>
        <w:t>a</w:t>
      </w:r>
      <w:r>
        <w:rPr>
          <w:rFonts w:ascii="Times New Roman" w:hAnsi="Times New Roman" w:cs="Times New Roman"/>
          <w:sz w:val="22"/>
          <w:szCs w:val="22"/>
          <w:lang w:val="sv-SE"/>
        </w:rPr>
        <w:t>derna, men då pensionsutgifterna stiger är man tvungen att också överväga andra alternativ för att få dessa utgifter att fördela sig så jämt so</w:t>
      </w:r>
      <w:r>
        <w:rPr>
          <w:rFonts w:ascii="Times New Roman" w:hAnsi="Times New Roman" w:cs="Times New Roman"/>
          <w:sz w:val="22"/>
          <w:szCs w:val="22"/>
          <w:lang w:val="sv-SE"/>
        </w:rPr>
        <w:t>m möjligt mellan medlemskommunerna.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I detta cirkulär behandlar vi frågan och presenterar alternativa sätt att hantera kostnaderna.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Närmare upplysningar: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sv-SE"/>
        </w:rPr>
        <w:t>Heli Sahala, tfn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(09) 771 23 03 </w:t>
      </w:r>
    </w:p>
    <w:p w:rsidR="00000000" w:rsidRDefault="00932981">
      <w:pPr>
        <w:ind w:left="25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Sisko Myöhänen, ekonomiförvaltning och pensionsförsäkringsfrågor,</w:t>
      </w: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tf</w:t>
      </w:r>
      <w:r>
        <w:rPr>
          <w:rFonts w:ascii="Times New Roman" w:hAnsi="Times New Roman" w:cs="Times New Roman"/>
          <w:sz w:val="22"/>
          <w:szCs w:val="22"/>
          <w:lang w:val="sv-SE"/>
        </w:rPr>
        <w:t>n (09) 771 22 46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Auli Valli-Lintu, ändringar i grundavtalen, tfn (09) 771 23 08</w:t>
      </w:r>
    </w:p>
    <w:p w:rsidR="00000000" w:rsidRDefault="00932981">
      <w:pPr>
        <w:ind w:left="2596"/>
        <w:jc w:val="both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851" w:right="1701" w:bottom="1134" w:left="1134" w:header="709" w:footer="709" w:gutter="0"/>
          <w:cols w:space="709"/>
          <w:titlePg/>
        </w:sect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ÄNDRINGAR I GRUNDAVTALEN FÖR SAMKOMMUNER I ANKNYTNING TILL REVIDERINGEN AV LAGSTIFTNINGEN OM SKYDDAT ARBETE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Revidering av lagstiftningen om sk</w:t>
      </w:r>
      <w:r>
        <w:rPr>
          <w:rFonts w:ascii="Times New Roman" w:hAnsi="Times New Roman" w:cs="Times New Roman"/>
          <w:sz w:val="24"/>
          <w:szCs w:val="24"/>
          <w:lang w:val="sv-SE"/>
        </w:rPr>
        <w:t>yddat arbete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Lagstiftningen om skyddat arbete reviderades 1.4.2002.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 bestämmelser om skyddat arbete som tidigare ingått i lagen om invalidvård upphävdes, och begreppet skyddat arbete har slopats i lagstiftningen.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Bestämmelserna i lagen om invalidvård e</w:t>
      </w:r>
      <w:r>
        <w:rPr>
          <w:rFonts w:ascii="Times New Roman" w:hAnsi="Times New Roman" w:cs="Times New Roman"/>
          <w:sz w:val="24"/>
          <w:szCs w:val="24"/>
          <w:lang w:val="sv-SE"/>
        </w:rPr>
        <w:t>rsattes innehållsmässigt med ett tillägg i 17 § socialvårdslagen.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Listan över socialservice som kommunen ska sörja för har fått en ny punkt (8):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”verksamhet i sysselsättningssyfte för handikappade och arbetsverksamhet för handikappade”.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Regeringsproposit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ionen utgår ifrån att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ändringarna i socialvårdslagen inte kommer att medföra nya uppgifter för kommunerna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att lagän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ringarna inte får ekonomiska verkningar.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Sysselsättningsservicen för handikappade utgör en del av kommunens sociala tjänster.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Kommunen o</w:t>
      </w:r>
      <w:r>
        <w:rPr>
          <w:rFonts w:ascii="Times New Roman" w:hAnsi="Times New Roman" w:cs="Times New Roman"/>
          <w:sz w:val="24"/>
          <w:szCs w:val="24"/>
          <w:lang w:val="sv-SE"/>
        </w:rPr>
        <w:t>rdnar denna verksamhet inom ramen för sina resurser.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Ändringen ger ett större utbud av möjligheter när det gäller att ordna sysselsättningsservice för handikappade.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Syftet med revideringen har varit att förbättra de handikappades föru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sättningar att få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arbete och att öka deras deltagande i arbetslivet.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Ver</w:t>
      </w:r>
      <w:r>
        <w:rPr>
          <w:rFonts w:ascii="Times New Roman" w:hAnsi="Times New Roman" w:cs="Times New Roman"/>
          <w:sz w:val="24"/>
          <w:szCs w:val="24"/>
          <w:lang w:val="sv-SE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>samheten omfattar särskilda stödåtgärder som främjar handikappades möjligheter att komma ut i arbetslivet om personerna i fråga har svårt att få arbete enbart med hjälp av arbetskraftspolitiska åtgärd</w:t>
      </w:r>
      <w:r>
        <w:rPr>
          <w:rFonts w:ascii="Times New Roman" w:hAnsi="Times New Roman" w:cs="Times New Roman"/>
          <w:sz w:val="24"/>
          <w:szCs w:val="24"/>
          <w:lang w:val="sv-SE"/>
        </w:rPr>
        <w:t>er eller arbet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kraftsservice.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Lagstiftningen har reviderats för att motsvara den allt större mångfalden av sysselsättningsfrämjande åtgärder.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Riksdagens social- och häls</w:t>
      </w: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>
        <w:rPr>
          <w:rFonts w:ascii="Times New Roman" w:hAnsi="Times New Roman" w:cs="Times New Roman"/>
          <w:sz w:val="24"/>
          <w:szCs w:val="24"/>
          <w:lang w:val="sv-SE"/>
        </w:rPr>
        <w:t>vårdsutskott ansåg i sitt utlåtande att begreppet skyddat arbete är föråldrat och st</w:t>
      </w:r>
      <w:r>
        <w:rPr>
          <w:rFonts w:ascii="Times New Roman" w:hAnsi="Times New Roman" w:cs="Times New Roman"/>
          <w:sz w:val="24"/>
          <w:szCs w:val="24"/>
          <w:lang w:val="sv-SE"/>
        </w:rPr>
        <w:t>ämplande och att det är onödigt att hålla kvar begreppet i lagen.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samband med lagändringen gjordes ändringar också i sysselsättning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lagen, folkpensionslagen, lagen om handikappbidrag, lagen om rehabil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teringspenning och sjukförsäkringslagen.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Verksamhet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sysselsättningssyfte ersätter skyddat arbete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Med verksamhet i sysselsättningssyfte för handikappade avses enligt 27 d § socialvårdslagen anordnande av särskilda rehabiliteringsåtgärder och andra stödåtgärder för att främja en persons möjligheter att få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arbete.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Verksamhet i sysselsättningssyfte anordnas enligt 2 mom. i paragrafen för personer som på grund av handikapp, sjukdom eller någon annan mo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svarande orsak under lång tid har särskilda svårigheter att klara de funktioner som hör till normal livsför</w:t>
      </w:r>
      <w:r>
        <w:rPr>
          <w:rFonts w:ascii="Times New Roman" w:hAnsi="Times New Roman" w:cs="Times New Roman"/>
          <w:sz w:val="24"/>
          <w:szCs w:val="24"/>
          <w:lang w:val="sv-SE"/>
        </w:rPr>
        <w:t>ing och som utöver arbetsförval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ningens tjänster och åtgärder behöver stödåtgärder för att komma ut på den öppna arbetsmarknaden.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Som ett led i verksamheten i sysselsättningssyfte för handikappade kan ordnas arbete där arbetstagaren står i ett sådant ans</w:t>
      </w:r>
      <w:r>
        <w:rPr>
          <w:rFonts w:ascii="Times New Roman" w:hAnsi="Times New Roman" w:cs="Times New Roman"/>
          <w:sz w:val="24"/>
          <w:szCs w:val="24"/>
          <w:lang w:val="sv-SE"/>
        </w:rPr>
        <w:t>tällningsförhållande till serviceproducenten som avses i 1 kap. 1 § arbetsavtalslagen (55/2001).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Angående lönen för ett sådant arbete kan ingås ett kollektivavtal enligt lagen om kollektivavtal (436/1946) vilket iakttas utan hinder av vad som bestäms om ko</w:t>
      </w:r>
      <w:r>
        <w:rPr>
          <w:rFonts w:ascii="Times New Roman" w:hAnsi="Times New Roman" w:cs="Times New Roman"/>
          <w:sz w:val="24"/>
          <w:szCs w:val="24"/>
          <w:lang w:val="sv-SE"/>
        </w:rPr>
        <w:t>llektivavtals bindande verkan i 2 kap. 7 § arbetsavtalsl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gen.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Förutom på de grunder som anges i 7 kap. i arbetsavtalslagen har den som producerar service i sysselsättningssyfte för handikappade rätt att säga upp arbetstagarens arbetsavtal också när den so</w:t>
      </w:r>
      <w:r>
        <w:rPr>
          <w:rFonts w:ascii="Times New Roman" w:hAnsi="Times New Roman" w:cs="Times New Roman"/>
          <w:sz w:val="24"/>
          <w:szCs w:val="24"/>
          <w:lang w:val="sv-SE"/>
        </w:rPr>
        <w:t>m anordnar arbetet anser att arbetstagaren inte på det sätt som avses i 2 mom. är i behov av arbete.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Utgångspunkten i lagändringen är att så många sysselsättningsfrämjande åtgärder och verksamhetsformer som möjligt ska vara tillgängliga.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Målet är att åtg</w:t>
      </w:r>
      <w:r>
        <w:rPr>
          <w:rFonts w:ascii="Times New Roman" w:hAnsi="Times New Roman" w:cs="Times New Roman"/>
          <w:sz w:val="24"/>
          <w:szCs w:val="24"/>
          <w:lang w:val="sv-SE"/>
        </w:rPr>
        <w:t>ärderna ska kunna hjälpa handikappade att frångå invalidpension och i stället komma ut i arbetslivet.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Samkommunerna för specialomsorgsdistrikten som producenter av skyddat arbete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del av samkommunerna för specialomsorgsdistrikten har också skött anord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nandet av skyddat arbete.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 grundavtalet för samkommunen anges skyddat arbete som samkommunens uppgift.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Om inte alla medlemskommuner i samkommunen deltagit i verksamheten kring skyddat arbete har delmedlemskap tillämpats.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Då har de kommuner som haft del</w:t>
      </w:r>
      <w:r>
        <w:rPr>
          <w:rFonts w:ascii="Times New Roman" w:hAnsi="Times New Roman" w:cs="Times New Roman"/>
          <w:sz w:val="24"/>
          <w:szCs w:val="24"/>
          <w:lang w:val="sv-SE"/>
        </w:rPr>
        <w:t>medlemskap deltagit i beslut om skyddat arbete och svarat för finansieringen av investeringar i skyddat arbete.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Ändring av texten i grundavtalet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Eftersom man efter lagändringarna inte längre känner begreppen ”skyddat arbete” och ”skyddat arbete enligt l</w:t>
      </w:r>
      <w:r>
        <w:rPr>
          <w:rFonts w:ascii="Times New Roman" w:hAnsi="Times New Roman" w:cs="Times New Roman"/>
          <w:sz w:val="24"/>
          <w:szCs w:val="24"/>
          <w:lang w:val="sv-SE"/>
        </w:rPr>
        <w:t>agen om invalidvård” som också a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vänts i avtalen, bör texten i grundavtalen till denna del ändras för att motsvara gällande lagstiftning.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grundavtalet ersätts en uppgift som gäller skyddat arbete exempelvis med något av följande begrepp:</w:t>
      </w:r>
    </w:p>
    <w:p w:rsidR="00000000" w:rsidRDefault="00932981">
      <w:pPr>
        <w:numPr>
          <w:ilvl w:val="0"/>
          <w:numId w:val="12"/>
        </w:numPr>
        <w:tabs>
          <w:tab w:val="num" w:pos="3894"/>
        </w:tabs>
        <w:ind w:left="3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verksamhet i sysselsättningssyfte enligt socialvårdslagen</w:t>
      </w:r>
    </w:p>
    <w:p w:rsidR="00000000" w:rsidRDefault="00932981">
      <w:pPr>
        <w:numPr>
          <w:ilvl w:val="0"/>
          <w:numId w:val="12"/>
        </w:numPr>
        <w:tabs>
          <w:tab w:val="num" w:pos="3894"/>
        </w:tabs>
        <w:ind w:left="3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verksamhet i sysselsättningssyfte för handikappade enligt 27 d § socialvårdslagen</w:t>
      </w:r>
    </w:p>
    <w:p w:rsidR="00000000" w:rsidRDefault="00932981">
      <w:pPr>
        <w:numPr>
          <w:ilvl w:val="0"/>
          <w:numId w:val="12"/>
        </w:numPr>
        <w:tabs>
          <w:tab w:val="num" w:pos="3894"/>
        </w:tabs>
        <w:ind w:left="3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ordna service för arbetsinriktad rehabilitering för hand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kappade samt service som främjar sysselsättningen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Best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ämmelserna om ekonomi i grundavtalen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Ändringen av lagstiftningen orsakar inga direkta behov av ändringar i grundavtalens bestämmelser om ekonomi.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I detta sammanhang är det dock skäl att granska om det finns andra behov av att revidera bestämmelserna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om ekonomi.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Den 15 juni 1999 skickade Kommunförbundet ett cirkulär (20/80/99) till kommunerna och sa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kommunerna om revidering av bestämmelserna om ekonomi i grunda</w:t>
      </w: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sz w:val="24"/>
          <w:szCs w:val="24"/>
          <w:lang w:val="sv-SE"/>
        </w:rPr>
        <w:t>talen.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Om ni av någon orsak inte då gjorde en revidering är det skäl att revidera bestämmel</w:t>
      </w:r>
      <w:r>
        <w:rPr>
          <w:rFonts w:ascii="Times New Roman" w:hAnsi="Times New Roman" w:cs="Times New Roman"/>
          <w:sz w:val="24"/>
          <w:szCs w:val="24"/>
          <w:lang w:val="sv-SE"/>
        </w:rPr>
        <w:t>serna i detta skede.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Pensionsbaserad KTAPL-avgift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KTAPL-avgiften består av en lönebaserad avgift, en pensionsutgiftsb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serad avgift samt självriskandelarna för individuell förtidspension, inv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lidpension och arbetslöshetspension.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 lönebaserade avgiften </w:t>
      </w:r>
      <w:r>
        <w:rPr>
          <w:rFonts w:ascii="Times New Roman" w:hAnsi="Times New Roman" w:cs="Times New Roman"/>
          <w:sz w:val="24"/>
          <w:szCs w:val="24"/>
          <w:lang w:val="sv-SE"/>
        </w:rPr>
        <w:t>är störst; 17,65 procent av KTAPL-lönesumman år 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Den pensionsbaserade avgiften klarläggs nedan.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Självriskandelarna för ett enskilt medlem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samfund bestäms utifrån de individuella förtidspensioner, invalidpen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ioner och arbetslöshetspensioner som inleds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respektive år. 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 pensionsbaserade avgiften fördelas mellan medlemssamfunden 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ligt hur mycket pension som utbetalas på basis av den service som utförts i medlemssamfundet.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Delegationen för Kommunernas pensionsförsäkring beslutar årligen om totalbelopp</w:t>
      </w:r>
      <w:r>
        <w:rPr>
          <w:rFonts w:ascii="Times New Roman" w:hAnsi="Times New Roman" w:cs="Times New Roman"/>
          <w:sz w:val="24"/>
          <w:szCs w:val="24"/>
          <w:lang w:val="sv-SE"/>
        </w:rPr>
        <w:t>et för den pensionsbaserade avgiften för följande år.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Exempelvis för år 2002 har 409 miljoner euro fastställts som totalbelopp för den pensionsbaserade avgiften vilket motsvarar uppskat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ningsvis 4,25 procent av KTAPL-lönesumman i hela landet.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Avgiften förd</w:t>
      </w:r>
      <w:r>
        <w:rPr>
          <w:rFonts w:ascii="Times New Roman" w:hAnsi="Times New Roman" w:cs="Times New Roman"/>
          <w:sz w:val="24"/>
          <w:szCs w:val="24"/>
          <w:lang w:val="sv-SE"/>
        </w:rPr>
        <w:t>elas mellan medlemssamfunden i förhållande till de faktiska pen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ionsutgifterna (dvs. utifrån de enligt medlemssamfundets tjänster betalda pensionernas andel).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central princip för hänföring av kostnaderna vid bokföring och kos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nadsberäkning är orsakspri</w:t>
      </w:r>
      <w:r>
        <w:rPr>
          <w:rFonts w:ascii="Times New Roman" w:hAnsi="Times New Roman" w:cs="Times New Roman"/>
          <w:sz w:val="24"/>
          <w:szCs w:val="24"/>
          <w:lang w:val="sv-SE"/>
        </w:rPr>
        <w:t>ncipen.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Enligt orsaksprincipen hänförs i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komster och utgifter till den uppgift, det projekt eller den produkt som de orsakats 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Utgående från detta har Kommunförbundet rekommenderat att också den pensionsbaserade KTAPL-avgiften bör hänföras till den som </w:t>
      </w:r>
      <w:r>
        <w:rPr>
          <w:rFonts w:ascii="Times New Roman" w:hAnsi="Times New Roman" w:cs="Times New Roman"/>
          <w:sz w:val="24"/>
          <w:szCs w:val="24"/>
          <w:lang w:val="sv-SE"/>
        </w:rPr>
        <w:t>orsakat kostnaderna (Infobladet Kommunalekonomi 7/1998 och 3/00).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Också prissättningen av prestationer grundar sig på de kostnader som uppstått.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Enligt Kommunförbundets mall för grundavtal (cirkulär 20/80/99) bör prissättningen av de tjänster samkommunerna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producerar grunda sig på produktifiering och produktspecifika kostnader.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 pensionsbaserade pensionsavgiften då verksamheten förändras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Kommunernas pensionsförsäkring har bl.a. i sitt cirkulär 2/1998 utrett förändringar i medlemssamfunden som inverkar </w:t>
      </w:r>
      <w:r>
        <w:rPr>
          <w:rFonts w:ascii="Times New Roman" w:hAnsi="Times New Roman" w:cs="Times New Roman"/>
          <w:sz w:val="24"/>
          <w:szCs w:val="24"/>
          <w:lang w:val="sv-SE"/>
        </w:rPr>
        <w:t>på fördelningsgrunderna för den pensionsbaserade KTAPL-avgiften.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Frågan har också behandlats i Kommunförbundets cirkulär 20/80/99 och infobladet Kommunalekonomi 7/1998.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Förändringar som inverkar på fördelningen av den pensionsb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serade avgiften kan exempelv</w:t>
      </w:r>
      <w:r>
        <w:rPr>
          <w:rFonts w:ascii="Times New Roman" w:hAnsi="Times New Roman" w:cs="Times New Roman"/>
          <w:sz w:val="24"/>
          <w:szCs w:val="24"/>
          <w:lang w:val="sv-SE"/>
        </w:rPr>
        <w:t>is vara att en ny kommun ansluter sig till samkommunen, att en kommun utträder ur samkommunen, att en ko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mun själv ordnar den service som tidigare köpts av samkommunen osv.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Vid förändringar bör kommunerna sinsemellan komma överens om hur den pensionsbasera</w:t>
      </w:r>
      <w:r>
        <w:rPr>
          <w:rFonts w:ascii="Times New Roman" w:hAnsi="Times New Roman" w:cs="Times New Roman"/>
          <w:sz w:val="24"/>
          <w:szCs w:val="24"/>
          <w:lang w:val="sv-SE"/>
        </w:rPr>
        <w:t>de KTAPL-avgiften ska fördelas mellan kommunerna.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Man kan avtala om fördelningsgrunderna till exempel i grundavtalet eller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också komma överens om grunderna separat i samband med respektive förändring (beroende på vad som avtalats i grundavtalet om prissätt</w:t>
      </w:r>
      <w:r>
        <w:rPr>
          <w:rFonts w:ascii="Times New Roman" w:hAnsi="Times New Roman" w:cs="Times New Roman"/>
          <w:sz w:val="24"/>
          <w:szCs w:val="24"/>
          <w:lang w:val="sv-SE"/>
        </w:rPr>
        <w:t>ningen av service/prestationer och medlemskommunernas övriga ansvar).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praktiken har verksamheten inskränkts i en del samkommuner för sp</w:t>
      </w: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cialomsorgsdistrikt, då en del av medlemskommunerna överflyttat sådan service som de tidigare köpt av samkommunen ti</w:t>
      </w:r>
      <w:r>
        <w:rPr>
          <w:rFonts w:ascii="Times New Roman" w:hAnsi="Times New Roman" w:cs="Times New Roman"/>
          <w:sz w:val="24"/>
          <w:szCs w:val="24"/>
          <w:lang w:val="sv-SE"/>
        </w:rPr>
        <w:t>ll sin egen verksamhet.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Då har samkommunens lönesumma minskat och den pensionsbaserade avgiften har ökat avsevärt i förhållande till lönesumman.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Också de pen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ionsbaserade avgifterna för tidigare arbetstagare inom skyddat arbete har höjt och kommer också 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forsättningen att höja pensionsavgifterna för det samfund som ordnat verksamheten.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Det kan vara fråga om klienter som inte på flera år arbetat inom skyddat arbete som tillhandahålls av sa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kommunen och vars hemkommun inte nödvändigtvis längre skaffar tjäns</w:t>
      </w:r>
      <w:r>
        <w:rPr>
          <w:rFonts w:ascii="Times New Roman" w:hAnsi="Times New Roman" w:cs="Times New Roman"/>
          <w:sz w:val="24"/>
          <w:szCs w:val="24"/>
          <w:lang w:val="sv-SE"/>
        </w:rPr>
        <w:t>ter av samkommunen.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Om den pensionsbaserade avgiften i detta fall hänförs direkt till priserna på tjänsterna stiger också priserna på samkommunens tjänster.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Detta skulle naturligtvis ytterligare minska användningen av samkommunens tjänster och öka trycke</w:t>
      </w:r>
      <w:r>
        <w:rPr>
          <w:rFonts w:ascii="Times New Roman" w:hAnsi="Times New Roman" w:cs="Times New Roman"/>
          <w:sz w:val="24"/>
          <w:szCs w:val="24"/>
          <w:lang w:val="sv-SE"/>
        </w:rPr>
        <w:t>t på en prisstegring.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Då och framför allt om den pensionsbaserade avgiften avsevärt överstiger (exempelvis med 50 procent) den genomsnittliga avgiftsprocenten (4,25 procent år 2002) kan det vara skäligt att avgiften inte riktas till ser</w:t>
      </w:r>
      <w:r>
        <w:rPr>
          <w:rFonts w:ascii="Times New Roman" w:hAnsi="Times New Roman" w:cs="Times New Roman"/>
          <w:sz w:val="24"/>
          <w:szCs w:val="24"/>
          <w:lang w:val="sv-SE"/>
        </w:rPr>
        <w:t>vic</w:t>
      </w: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priserna, utan fördelas mellan medlemskommunerna på andra grunder, exempelvis enligt andelarna i grundkapitalet / invånarantalet/ använ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ningen av service år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Enligt Kommunförbundets mall för grundavtal avtalar man om prissättningen av prestationer i </w:t>
      </w:r>
      <w:r>
        <w:rPr>
          <w:rFonts w:ascii="Times New Roman" w:hAnsi="Times New Roman" w:cs="Times New Roman"/>
          <w:sz w:val="24"/>
          <w:szCs w:val="24"/>
          <w:lang w:val="sv-SE"/>
        </w:rPr>
        <w:t>grundavtalet, vilket b</w:t>
      </w: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tyder att en ändring i prissättningspraxisen kräver ändring av grundavt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let.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fördelning enligt andelarna i grundkapitalet betonar medlemsko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munens ägaransvar för samkommunens pensionsbaserade avgift, dvs. att man då använder m</w:t>
      </w:r>
      <w:r>
        <w:rPr>
          <w:rFonts w:ascii="Times New Roman" w:hAnsi="Times New Roman" w:cs="Times New Roman"/>
          <w:sz w:val="24"/>
          <w:szCs w:val="24"/>
          <w:lang w:val="sv-SE"/>
        </w:rPr>
        <w:t>edlemskommunernas kapitalinvesteringar för att fö</w:t>
      </w: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dela kostnaderna.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En fördelning utifrån användningen av tjänster mot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varar förfarandet om samkommunen upplöses.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Vid upplösningen av en samkommun ska avtalet om fördelningen av den pensionsbaserade a</w:t>
      </w: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sz w:val="24"/>
          <w:szCs w:val="24"/>
          <w:lang w:val="sv-SE"/>
        </w:rPr>
        <w:t>giften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skickas till Kommunernas pensionsförsäkring ( Kommunernas pensionsförsäkrings cirkulär 2/1998).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Om inget avtal om fördelning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grunder ingåtts är Kommunernas pensionsförsäkring berättigad att besluta om fördelningsgrunden.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 praktiken har Kommunernas pensio</w:t>
      </w:r>
      <w:r>
        <w:rPr>
          <w:rFonts w:ascii="Times New Roman" w:hAnsi="Times New Roman" w:cs="Times New Roman"/>
          <w:sz w:val="24"/>
          <w:szCs w:val="24"/>
          <w:lang w:val="sv-SE"/>
        </w:rPr>
        <w:t>nsförsä</w:t>
      </w:r>
      <w:r>
        <w:rPr>
          <w:rFonts w:ascii="Times New Roman" w:hAnsi="Times New Roman" w:cs="Times New Roman"/>
          <w:sz w:val="24"/>
          <w:szCs w:val="24"/>
          <w:lang w:val="sv-SE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>ring använt förhållandet mellan användningen av och driftsutgifterna för servicen under de tre föregående åren som fördelningsgrund, såvida inte något annat avtal ingåtts om fördelningen av den pensionsbaserade a</w:t>
      </w: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sz w:val="24"/>
          <w:szCs w:val="24"/>
          <w:lang w:val="sv-SE"/>
        </w:rPr>
        <w:t>giften (och Kommunernas pensionsför</w:t>
      </w:r>
      <w:r>
        <w:rPr>
          <w:rFonts w:ascii="Times New Roman" w:hAnsi="Times New Roman" w:cs="Times New Roman"/>
          <w:sz w:val="24"/>
          <w:szCs w:val="24"/>
          <w:lang w:val="sv-SE"/>
        </w:rPr>
        <w:t>säkring informerats om avtalet).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Att använda invånarantal eller dylikt som fördelningsgrund innebär däremot att kostnaderna fördelas enligt befolkningsunderlaget i stället för enligt användningen av tjänster.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grund vid övergång till på förhand fastst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ällda priser på prestationer var att den samkommun som producerar tjänsterna förbundit sig att svara för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servicen till på förhand fastställda priser och att användarkommunerna på så sätt kan förutse och påverka de totala kostnaderna.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Det har ändå varit och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är fortfarande möjligt att man i grundavtalet kommer överens om att exempelvis en del av kostnaderna täcks på andra grunder än med prisen på prestationerna.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Man måste bara på förhand avtala om detta i samko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munens grundavtal.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Ändringar i samkommunens gr</w:t>
      </w:r>
      <w:r>
        <w:rPr>
          <w:rFonts w:ascii="Times New Roman" w:hAnsi="Times New Roman" w:cs="Times New Roman"/>
          <w:sz w:val="24"/>
          <w:szCs w:val="24"/>
          <w:lang w:val="sv-SE"/>
        </w:rPr>
        <w:t>undavtal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Enligt den ändring av 79 § kommunallagen som trädde i kraft 1.3.2002 kan grundavtalet ändras, om minst två tredjedelar av medlemskomm</w:t>
      </w:r>
      <w:r>
        <w:rPr>
          <w:rFonts w:ascii="Times New Roman" w:hAnsi="Times New Roman" w:cs="Times New Roman"/>
          <w:sz w:val="24"/>
          <w:szCs w:val="24"/>
          <w:lang w:val="sv-SE"/>
        </w:rPr>
        <w:t>u</w:t>
      </w:r>
      <w:r>
        <w:rPr>
          <w:rFonts w:ascii="Times New Roman" w:hAnsi="Times New Roman" w:cs="Times New Roman"/>
          <w:sz w:val="24"/>
          <w:szCs w:val="24"/>
          <w:lang w:val="sv-SE"/>
        </w:rPr>
        <w:t>nerna understöder en ändring och deras invånarantal är minst hälften av det sammanräknade invånarantalet i samtl</w:t>
      </w:r>
      <w:r>
        <w:rPr>
          <w:rFonts w:ascii="Times New Roman" w:hAnsi="Times New Roman" w:cs="Times New Roman"/>
          <w:sz w:val="24"/>
          <w:szCs w:val="24"/>
          <w:lang w:val="sv-SE"/>
        </w:rPr>
        <w:t>iga medlemskommuner.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 medlemskommunerna beslutar medlemskommunernas fullmäktige om ändringarna.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2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praktiken påbörjas en ändring av samkommunens grundavtal på initiativ av samkommunen.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Ändringar i grundavtalet förutsätter dock inte nö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vändigtvis att ä</w:t>
      </w:r>
      <w:r>
        <w:rPr>
          <w:rFonts w:ascii="Times New Roman" w:hAnsi="Times New Roman" w:cs="Times New Roman"/>
          <w:sz w:val="24"/>
          <w:szCs w:val="24"/>
          <w:lang w:val="sv-SE"/>
        </w:rPr>
        <w:t>ndringen behandlas i samkommunens organ.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Om sa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kommunens grundavtal behandlas i samkommunens organ, är det endast fråga om ett förslag till grundavtal som ges åt medlemskommunerna och beslutet kräver ingen majoritet.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79 § kommunallagen förutsätter endast a</w:t>
      </w:r>
      <w:r>
        <w:rPr>
          <w:rFonts w:ascii="Times New Roman" w:hAnsi="Times New Roman" w:cs="Times New Roman"/>
          <w:sz w:val="24"/>
          <w:szCs w:val="24"/>
          <w:lang w:val="sv-SE"/>
        </w:rPr>
        <w:t>tt minst två tredjedelar av medlemskommunerna understöder en ändring och att deras invånarantal är minst hälften av det sammanräknade invånara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talet i samtliga medlemskommuner.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 medlemskommunernas fullmäktige kan ett beslut om ändring av grundavtalet fatt</w:t>
      </w:r>
      <w:r>
        <w:rPr>
          <w:rFonts w:ascii="Times New Roman" w:hAnsi="Times New Roman" w:cs="Times New Roman"/>
          <w:sz w:val="24"/>
          <w:szCs w:val="24"/>
          <w:lang w:val="sv-SE"/>
        </w:rPr>
        <w:t>as med ett normalt major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tetsbeslut.</w:t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FINLANDS KOMMUNFÖRBUND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3298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Pekka Alanen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Matti Liukko</w:t>
      </w:r>
    </w:p>
    <w:p w:rsidR="00000000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vice verkställande direktör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chef för enheten,</w:t>
      </w:r>
    </w:p>
    <w:p w:rsidR="00000000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social- och hälsovård</w:t>
      </w:r>
    </w:p>
    <w:p w:rsidR="00000000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</w:p>
    <w:p w:rsidR="00932981" w:rsidRDefault="00932981">
      <w:pPr>
        <w:ind w:lef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2981">
      <w:type w:val="continuous"/>
      <w:pgSz w:w="11905" w:h="16837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81" w:rsidRDefault="00932981">
      <w:r>
        <w:separator/>
      </w:r>
    </w:p>
  </w:endnote>
  <w:endnote w:type="continuationSeparator" w:id="0">
    <w:p w:rsidR="00932981" w:rsidRDefault="0093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81" w:rsidRDefault="00932981">
      <w:r>
        <w:separator/>
      </w:r>
    </w:p>
  </w:footnote>
  <w:footnote w:type="continuationSeparator" w:id="0">
    <w:p w:rsidR="00932981" w:rsidRDefault="0093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2981">
    <w:pPr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95BAC">
      <w:rPr>
        <w:rStyle w:val="Sivunumero"/>
        <w:noProof/>
      </w:rPr>
      <w:t>6</w:t>
    </w:r>
    <w:r>
      <w:rPr>
        <w:rStyle w:val="Sivunumero"/>
      </w:rPr>
      <w:fldChar w:fldCharType="end"/>
    </w:r>
  </w:p>
  <w:p w:rsidR="00000000" w:rsidRDefault="00932981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CB8"/>
    <w:multiLevelType w:val="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65B61"/>
    <w:multiLevelType w:val="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A0064"/>
    <w:multiLevelType w:val="multilevel"/>
    <w:tmpl w:val="0040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81C26"/>
    <w:multiLevelType w:val="multilevel"/>
    <w:tmpl w:val="3AB6D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2439A"/>
    <w:multiLevelType w:val="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B7D43"/>
    <w:multiLevelType w:val="multilevel"/>
    <w:tmpl w:val="ECF642D0"/>
    <w:lvl w:ilvl="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37264"/>
    <w:multiLevelType w:val="multilevel"/>
    <w:tmpl w:val="5D121420"/>
    <w:lvl w:ilvl="0">
      <w:start w:val="1"/>
      <w:numFmt w:val="decimal"/>
      <w:lvlText w:val="%1)"/>
      <w:lvlJc w:val="left"/>
      <w:pPr>
        <w:ind w:left="2956" w:hanging="165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820FF"/>
    <w:multiLevelType w:val="multilevel"/>
    <w:tmpl w:val="8E700614"/>
    <w:lvl w:ilvl="0">
      <w:start w:val="1"/>
      <w:numFmt w:val="bullet"/>
      <w:lvlText w:val="-"/>
      <w:lvlJc w:val="left"/>
      <w:pPr>
        <w:tabs>
          <w:tab w:val="num" w:pos="1298"/>
        </w:tabs>
        <w:ind w:left="1298" w:hanging="1298"/>
      </w:pPr>
      <w:rPr>
        <w:rFonts w:ascii="Lucida Console" w:hAnsi="Lucida Console" w:cs="Lucida Console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86D9D"/>
    <w:multiLevelType w:val="multilevel"/>
    <w:tmpl w:val="7642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9448B"/>
    <w:multiLevelType w:val="multilevel"/>
    <w:tmpl w:val="3AB6D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31FC7"/>
    <w:multiLevelType w:val="multilevel"/>
    <w:tmpl w:val="F446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640254"/>
    <w:multiLevelType w:val="multilevel"/>
    <w:tmpl w:val="0040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autoHyphenation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C"/>
    <w:rsid w:val="00932981"/>
    <w:rsid w:val="00A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 Normaali" w:hAnsi="Times New Roman Normaali" w:cs="Times New Roman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widowControl/>
      <w:tabs>
        <w:tab w:val="left" w:pos="0"/>
        <w:tab w:val="left" w:pos="1303"/>
        <w:tab w:val="left" w:pos="2154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5192"/>
      <w:outlineLvl w:val="0"/>
    </w:pPr>
    <w:rPr>
      <w:rFonts w:ascii="Times New Roman" w:hAnsi="Times New Roman" w:cs="Times New Roman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widowControl/>
      <w:outlineLvl w:val="5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b/>
      <w:bCs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character" w:styleId="Sivunumero">
    <w:name w:val="page number"/>
    <w:basedOn w:val="Kappaleenoletusfontti"/>
    <w:uiPriority w:val="99"/>
  </w:style>
  <w:style w:type="paragraph" w:styleId="Leipteksti2">
    <w:name w:val="Body Text 2"/>
    <w:basedOn w:val="Normaali"/>
    <w:link w:val="Leipteksti2Char"/>
    <w:uiPriority w:val="99"/>
    <w:pPr>
      <w:widowControl/>
      <w:ind w:left="1298"/>
    </w:pPr>
    <w:rPr>
      <w:rFonts w:ascii="Times New Roman" w:hAnsi="Times New Roman" w:cs="Times New Roman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widowControl/>
      <w:tabs>
        <w:tab w:val="left" w:pos="0"/>
        <w:tab w:val="left" w:pos="1303"/>
        <w:tab w:val="left" w:pos="2154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2154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widowControl/>
      <w:tabs>
        <w:tab w:val="left" w:pos="0"/>
        <w:tab w:val="left" w:pos="1303"/>
        <w:tab w:val="left" w:pos="2154"/>
        <w:tab w:val="left" w:pos="2664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2664"/>
    </w:pPr>
    <w:rPr>
      <w:sz w:val="24"/>
      <w:szCs w:val="24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Pr>
      <w:rFonts w:ascii="Times New Roman Normaali" w:hAnsi="Times New Roman Normaali" w:cs="Times New Roman Normaali"/>
      <w:sz w:val="16"/>
      <w:szCs w:val="16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 Normaali" w:hAnsi="Times New Roman Normaali" w:cs="Times New Roman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widowControl/>
      <w:tabs>
        <w:tab w:val="left" w:pos="0"/>
        <w:tab w:val="left" w:pos="1303"/>
        <w:tab w:val="left" w:pos="2154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5192"/>
      <w:outlineLvl w:val="0"/>
    </w:pPr>
    <w:rPr>
      <w:rFonts w:ascii="Times New Roman" w:hAnsi="Times New Roman" w:cs="Times New Roman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widowControl/>
      <w:outlineLvl w:val="5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b/>
      <w:bCs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character" w:styleId="Sivunumero">
    <w:name w:val="page number"/>
    <w:basedOn w:val="Kappaleenoletusfontti"/>
    <w:uiPriority w:val="99"/>
  </w:style>
  <w:style w:type="paragraph" w:styleId="Leipteksti2">
    <w:name w:val="Body Text 2"/>
    <w:basedOn w:val="Normaali"/>
    <w:link w:val="Leipteksti2Char"/>
    <w:uiPriority w:val="99"/>
    <w:pPr>
      <w:widowControl/>
      <w:ind w:left="1298"/>
    </w:pPr>
    <w:rPr>
      <w:rFonts w:ascii="Times New Roman" w:hAnsi="Times New Roman" w:cs="Times New Roman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widowControl/>
      <w:tabs>
        <w:tab w:val="left" w:pos="0"/>
        <w:tab w:val="left" w:pos="1303"/>
        <w:tab w:val="left" w:pos="2154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2154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widowControl/>
      <w:tabs>
        <w:tab w:val="left" w:pos="0"/>
        <w:tab w:val="left" w:pos="1303"/>
        <w:tab w:val="left" w:pos="2154"/>
        <w:tab w:val="left" w:pos="2664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</w:tabs>
      <w:ind w:left="2664"/>
    </w:pPr>
    <w:rPr>
      <w:sz w:val="24"/>
      <w:szCs w:val="24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Pr>
      <w:rFonts w:ascii="Times New Roman Normaali" w:hAnsi="Times New Roman Normaali" w:cs="Times New Roman Normaali"/>
      <w:sz w:val="16"/>
      <w:szCs w:val="16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 Normaali" w:hAnsi="Times New Roman Normaali" w:cs="Times New Roman Normaali"/>
      <w:sz w:val="20"/>
      <w:szCs w:val="20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13420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Yleiskirje</vt:lpstr>
    </vt:vector>
  </TitlesOfParts>
  <Company>Ympäristöhallinto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Yleiskirje</dc:title>
  <dc:creator>korpelainen</dc:creator>
  <cp:lastModifiedBy>Suhonen Victor</cp:lastModifiedBy>
  <cp:revision>2</cp:revision>
  <cp:lastPrinted>2002-11-21T10:51:00Z</cp:lastPrinted>
  <dcterms:created xsi:type="dcterms:W3CDTF">2017-02-01T11:05:00Z</dcterms:created>
  <dcterms:modified xsi:type="dcterms:W3CDTF">2017-02-01T11:05:00Z</dcterms:modified>
</cp:coreProperties>
</file>