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A52" w:rsidRDefault="00A67A52">
      <w:pPr>
        <w:pStyle w:val="Leipis"/>
        <w:rPr>
          <w:lang w:val="sv-SE"/>
        </w:rPr>
      </w:pPr>
      <w:bookmarkStart w:id="0" w:name="_GoBack"/>
      <w:bookmarkEnd w:id="0"/>
      <w:r>
        <w:tab/>
      </w:r>
      <w:r w:rsidRPr="00ED2C87">
        <w:rPr>
          <w:noProof/>
          <w:lang w:val="sv-SE"/>
        </w:rPr>
        <w:t>Bilaga 1</w:t>
      </w:r>
      <w:r>
        <w:rPr>
          <w:lang w:val="sv-SE"/>
        </w:rPr>
        <w:t xml:space="preserve"> </w:t>
      </w:r>
      <w:r>
        <w:rPr>
          <w:lang w:val="sv-SE"/>
        </w:rPr>
        <w:br/>
      </w:r>
      <w:r>
        <w:rPr>
          <w:lang w:val="sv-SE"/>
        </w:rPr>
        <w:tab/>
      </w:r>
      <w:r>
        <w:rPr>
          <w:lang w:val="sv-SE"/>
        </w:rPr>
        <w:tab/>
      </w:r>
      <w:r>
        <w:rPr>
          <w:lang w:val="sv-SE"/>
        </w:rPr>
        <w:tab/>
      </w:r>
      <w:r>
        <w:rPr>
          <w:lang w:val="sv-SE"/>
        </w:rPr>
        <w:tab/>
      </w:r>
      <w:r>
        <w:rPr>
          <w:lang w:val="sv-SE"/>
        </w:rPr>
        <w:tab/>
      </w:r>
    </w:p>
    <w:p w:rsidR="00A67A52" w:rsidRDefault="00A67A52">
      <w:pPr>
        <w:pStyle w:val="Otsikko1"/>
        <w:rPr>
          <w:lang w:val="sv-SE"/>
        </w:rPr>
      </w:pPr>
      <w:r>
        <w:rPr>
          <w:noProof/>
          <w:lang w:val="sv-SE"/>
        </w:rPr>
        <w:t>Taxa för kommunala myndigheter angående tillsyn enligt livsmedelslagen</w:t>
      </w:r>
    </w:p>
    <w:p w:rsidR="00A67A52" w:rsidRPr="00ED2C87" w:rsidRDefault="00A67A52" w:rsidP="00ED2C87">
      <w:pPr>
        <w:pStyle w:val="Otsikko2"/>
      </w:pPr>
      <w:r w:rsidRPr="00ED2C87">
        <w:t>1 § Tillämpningsområde</w:t>
      </w:r>
    </w:p>
    <w:p w:rsidR="00A67A52" w:rsidRDefault="00A67A52">
      <w:pPr>
        <w:pStyle w:val="Leipis"/>
      </w:pPr>
      <w:r>
        <w:rPr>
          <w:lang w:val="sv-SE"/>
        </w:rPr>
        <w:t>Denna taxa tillämpas på kommunala myndigheters prestationer enligt livsmedelslagen (23/2006). Dessa prestationer gäller:</w:t>
      </w:r>
      <w:r>
        <w:t xml:space="preserve">  </w:t>
      </w:r>
    </w:p>
    <w:p w:rsidR="00A67A52" w:rsidRDefault="00A67A52">
      <w:pPr>
        <w:pStyle w:val="Bulletnrosulku"/>
        <w:rPr>
          <w:lang w:val="sv-SE"/>
        </w:rPr>
      </w:pPr>
      <w:r>
        <w:rPr>
          <w:lang w:val="sv-SE"/>
        </w:rPr>
        <w:t>godkännande av livsmedelslokaler och deras planer för egenkontroll,</w:t>
      </w:r>
    </w:p>
    <w:p w:rsidR="00A67A52" w:rsidRDefault="00A67A52">
      <w:pPr>
        <w:pStyle w:val="Bulletnrosulku"/>
        <w:rPr>
          <w:lang w:val="sv-SE"/>
        </w:rPr>
      </w:pPr>
      <w:r>
        <w:rPr>
          <w:lang w:val="sv-SE"/>
        </w:rPr>
        <w:t>inspektioner, provtagning och undersökning av prov i enlighet med den kommunala tillsynsplanen,</w:t>
      </w:r>
    </w:p>
    <w:p w:rsidR="00A67A52" w:rsidRDefault="00A67A52">
      <w:pPr>
        <w:pStyle w:val="Bulletnrosulku"/>
        <w:rPr>
          <w:lang w:val="sv-SE"/>
        </w:rPr>
      </w:pPr>
      <w:r>
        <w:rPr>
          <w:lang w:val="sv-SE"/>
        </w:rPr>
        <w:t>övervakning av livsmedelslokaler som exporterar livsmedel av animaliskt ursprung till länder utanför Europeiska unionen till den del exporten, enligt de krav som köparlandet ställer, förutsätter en mera omfattande övervakning än normalt, samt</w:t>
      </w:r>
    </w:p>
    <w:p w:rsidR="00A67A52" w:rsidRDefault="00A67A52">
      <w:pPr>
        <w:pStyle w:val="Bulletnrosulku"/>
        <w:rPr>
          <w:lang w:val="sv-SE"/>
        </w:rPr>
      </w:pPr>
      <w:r>
        <w:rPr>
          <w:lang w:val="sv-SE"/>
        </w:rPr>
        <w:t xml:space="preserve">kontroll för övervakning av de åtgärder som avses i 7 kap., vilka baserar sig på att livsmedelsbestämmelserna inte har följts. </w:t>
      </w:r>
    </w:p>
    <w:p w:rsidR="00A67A52" w:rsidRDefault="00A67A52">
      <w:pPr>
        <w:pStyle w:val="Bulletnrosulku"/>
        <w:numPr>
          <w:ilvl w:val="0"/>
          <w:numId w:val="0"/>
        </w:numPr>
        <w:ind w:left="1304"/>
        <w:rPr>
          <w:lang w:val="sv-SE"/>
        </w:rPr>
      </w:pPr>
    </w:p>
    <w:p w:rsidR="00A67A52" w:rsidRDefault="00A67A52">
      <w:pPr>
        <w:pStyle w:val="Leipis"/>
        <w:rPr>
          <w:lang w:val="sv-SE"/>
        </w:rPr>
      </w:pPr>
      <w:r>
        <w:rPr>
          <w:lang w:val="sv-SE"/>
        </w:rPr>
        <w:t>Vid tillämpning av taxan beaktas bestämmelserna i artiklarna 27 och 28 i Europaparlamentets och rådets förordning (EG) nr 882/2004 och bestämmelserna i statsrådets förordning, som utfärdas med stöd av artiklarna.</w:t>
      </w:r>
    </w:p>
    <w:p w:rsidR="00A67A52" w:rsidRDefault="00A67A52">
      <w:pPr>
        <w:pStyle w:val="Leipis"/>
        <w:rPr>
          <w:lang w:val="sv-SE"/>
        </w:rPr>
      </w:pPr>
      <w:r>
        <w:rPr>
          <w:lang w:val="sv-SE"/>
        </w:rPr>
        <w:t xml:space="preserve">Denna taxa tillämpas på avgifter som tas ut för godkännande av system för märkning av nötkött enligt jord- och skogsbruksministeriets förordning 1203/2001. </w:t>
      </w:r>
    </w:p>
    <w:p w:rsidR="00A67A52" w:rsidRDefault="00A67A52" w:rsidP="00ED2C87">
      <w:pPr>
        <w:pStyle w:val="Otsikko2"/>
      </w:pPr>
      <w:r>
        <w:t>2 § Grunder för fastställande av avgifterna</w:t>
      </w:r>
    </w:p>
    <w:p w:rsidR="00A67A52" w:rsidRDefault="00A67A52">
      <w:pPr>
        <w:pStyle w:val="Leipis"/>
        <w:rPr>
          <w:lang w:val="sv-SE"/>
        </w:rPr>
      </w:pPr>
      <w:r>
        <w:rPr>
          <w:lang w:val="sv-SE"/>
        </w:rPr>
        <w:t xml:space="preserve">2.1 </w:t>
      </w:r>
      <w:r>
        <w:rPr>
          <w:lang w:val="sv-SE"/>
        </w:rPr>
        <w:tab/>
        <w:t>Avgifterna grundar sig på myndighetens totala kostnader för tillsynen, inspektionerna och provtagningen.</w:t>
      </w:r>
    </w:p>
    <w:p w:rsidR="00A67A52" w:rsidRDefault="00A67A52">
      <w:pPr>
        <w:pStyle w:val="Leipis"/>
        <w:rPr>
          <w:lang w:val="sv-SE"/>
        </w:rPr>
      </w:pPr>
      <w:r>
        <w:rPr>
          <w:lang w:val="sv-SE"/>
        </w:rPr>
        <w:t xml:space="preserve">2.2  </w:t>
      </w:r>
      <w:r>
        <w:rPr>
          <w:lang w:val="sv-SE"/>
        </w:rPr>
        <w:tab/>
        <w:t>I de totala kostnaderna ingår omkostnaderna för skötseln av uppgiften, räntor och avskrivningar och en andel av förvaltningskostnaderna.  Det pris som tas ut för kontrollpersonalens arbete är ___ euro per arbetstimme.</w:t>
      </w:r>
    </w:p>
    <w:p w:rsidR="00A67A52" w:rsidRDefault="00A67A52">
      <w:pPr>
        <w:pStyle w:val="Leipis"/>
        <w:rPr>
          <w:lang w:val="sv-SE"/>
        </w:rPr>
      </w:pPr>
      <w:r>
        <w:rPr>
          <w:lang w:val="sv-SE"/>
        </w:rPr>
        <w:t>2.3</w:t>
      </w:r>
      <w:r>
        <w:rPr>
          <w:lang w:val="sv-SE"/>
        </w:rPr>
        <w:tab/>
        <w:t xml:space="preserve"> Avgifterna för utomstående tjänster och laboratorieundersökningar bestäms enligt kostnaderna för dem.</w:t>
      </w:r>
    </w:p>
    <w:p w:rsidR="00A67A52" w:rsidRDefault="00A67A52">
      <w:pPr>
        <w:pStyle w:val="Leipis"/>
        <w:rPr>
          <w:lang w:val="sv-SE"/>
        </w:rPr>
      </w:pPr>
      <w:r>
        <w:rPr>
          <w:lang w:val="sv-SE"/>
        </w:rPr>
        <w:t xml:space="preserve">2.4 </w:t>
      </w:r>
      <w:r>
        <w:rPr>
          <w:lang w:val="sv-SE"/>
        </w:rPr>
        <w:tab/>
        <w:t>För en provtagning som inte ingår i ett inspektionsbesök i kommunens regi debiteras ___ euro.</w:t>
      </w:r>
    </w:p>
    <w:p w:rsidR="00A67A52" w:rsidRDefault="00A67A52" w:rsidP="00ED2C87">
      <w:pPr>
        <w:pStyle w:val="Otsikko2"/>
      </w:pPr>
      <w:r>
        <w:t>3 § Avgifter för godkännande av livsmedelslokaler och deras planer för egenkontroll</w:t>
      </w:r>
    </w:p>
    <w:p w:rsidR="00A67A52" w:rsidRDefault="00A67A52">
      <w:pPr>
        <w:pStyle w:val="Leipis"/>
        <w:rPr>
          <w:lang w:val="sv-SE"/>
        </w:rPr>
      </w:pPr>
      <w:r>
        <w:rPr>
          <w:lang w:val="sv-SE"/>
        </w:rPr>
        <w:t>3.1</w:t>
      </w:r>
      <w:r>
        <w:rPr>
          <w:lang w:val="sv-SE"/>
        </w:rPr>
        <w:tab/>
        <w:t xml:space="preserve"> Som allmän grund för avgiften för godkännande av livsmedelslokaler och deras planer för egenkontroll används godkännandeförfarandets omfattning. Avgiften bestäms enligt den arbetstid som går åt till handläggningen av ansökan inklusive ibruktagningsinspektionen av livsmedelslokalen, granskningen av handlingarna och beslutet om godkännande. </w:t>
      </w:r>
    </w:p>
    <w:p w:rsidR="00A67A52" w:rsidRDefault="00A67A52" w:rsidP="00ED2C87">
      <w:pPr>
        <w:pStyle w:val="Otsikko2"/>
      </w:pPr>
      <w:r>
        <w:t>4 § Avgifter för provtagningar som ingår i inspektionerna och inspektionstiden enligt den kommunala tillsynsplanen</w:t>
      </w:r>
    </w:p>
    <w:p w:rsidR="00A67A52" w:rsidRDefault="00A67A52">
      <w:pPr>
        <w:pStyle w:val="Leipis"/>
        <w:rPr>
          <w:lang w:val="sv-SE"/>
        </w:rPr>
      </w:pPr>
      <w:r>
        <w:rPr>
          <w:lang w:val="sv-SE"/>
        </w:rPr>
        <w:t>4.1</w:t>
      </w:r>
      <w:r>
        <w:rPr>
          <w:lang w:val="sv-SE"/>
        </w:rPr>
        <w:tab/>
        <w:t xml:space="preserve"> För en inspektion och en provtagning som grundar sig på en godkänd tillsynsplan tas ut en tillsynsavgift som bygger på kartläggning och riskvärdering av inspektionsobjekten. Närmare bestämmelser om innehållet i inspektionen och den genomsnittliga tidsåtgången efter typ av tillsynsobjekt ges i det riksomfattande tillsynsprogrammet för olika verksamhetsområden och kommunens/samkommunens livsmedelstillsynsplan och kvalitetssystem.   </w:t>
      </w:r>
    </w:p>
    <w:p w:rsidR="00A67A52" w:rsidRDefault="00A67A52" w:rsidP="00ED2C87">
      <w:pPr>
        <w:pStyle w:val="Otsikko2"/>
      </w:pPr>
      <w:r>
        <w:lastRenderedPageBreak/>
        <w:t>5 § Avgifter för övriga inspektioner</w:t>
      </w:r>
    </w:p>
    <w:p w:rsidR="00A67A52" w:rsidRDefault="00A67A52">
      <w:pPr>
        <w:pStyle w:val="Leipis"/>
        <w:rPr>
          <w:lang w:val="sv-SE"/>
        </w:rPr>
      </w:pPr>
      <w:r>
        <w:rPr>
          <w:lang w:val="sv-SE"/>
        </w:rPr>
        <w:t xml:space="preserve">5.1 </w:t>
      </w:r>
      <w:r>
        <w:rPr>
          <w:lang w:val="sv-SE"/>
        </w:rPr>
        <w:tab/>
        <w:t>För övervakning av livsmedelslokaler som exporterar livsmedel av animaliskt ursprung till länder utanför Europeiska unionen tas ut en särskild avgift till den del exporten, enligt de krav som köparlandet ställer, förutsätter en mera omfattande övervakning än normalt. Avgiften bestäms enligt den tid som går åt till inspektionerna.</w:t>
      </w:r>
    </w:p>
    <w:p w:rsidR="00A67A52" w:rsidRDefault="00A67A52">
      <w:pPr>
        <w:pStyle w:val="Leipis"/>
        <w:rPr>
          <w:lang w:val="sv-SE"/>
        </w:rPr>
      </w:pPr>
      <w:r>
        <w:rPr>
          <w:lang w:val="sv-SE"/>
        </w:rPr>
        <w:t>5.2</w:t>
      </w:r>
      <w:r>
        <w:rPr>
          <w:lang w:val="sv-SE"/>
        </w:rPr>
        <w:tab/>
        <w:t xml:space="preserve"> För inspektioner som kan grunda sig på tillsynen av de åtgärder som avses i 7 kap i livsmedelslagen tas ut en avgift som bygger på kostnaderna för tillsynen.</w:t>
      </w:r>
    </w:p>
    <w:p w:rsidR="00A67A52" w:rsidRDefault="00A67A52">
      <w:pPr>
        <w:pStyle w:val="Leipis"/>
        <w:rPr>
          <w:lang w:val="sv-SE"/>
        </w:rPr>
      </w:pPr>
      <w:r>
        <w:rPr>
          <w:lang w:val="sv-SE"/>
        </w:rPr>
        <w:t xml:space="preserve">5.3 Avgiften för köttbesiktning bestäms efter antalet djurkroppar som besiktigas. </w:t>
      </w:r>
    </w:p>
    <w:p w:rsidR="00A67A52" w:rsidRDefault="00A67A52">
      <w:pPr>
        <w:pStyle w:val="Leipis"/>
        <w:rPr>
          <w:lang w:val="sv-SE"/>
        </w:rPr>
      </w:pPr>
      <w:r>
        <w:rPr>
          <w:lang w:val="sv-SE"/>
        </w:rPr>
        <w:t xml:space="preserve">5.4 </w:t>
      </w:r>
      <w:r>
        <w:rPr>
          <w:lang w:val="sv-SE"/>
        </w:rPr>
        <w:tab/>
        <w:t xml:space="preserve">Dessutom tas avgifter ut för annan tillsyn och anknytande undersökningar i enlighet med bestämmelserna i artiklarna 27 och 28 i kontrollförordningen. </w:t>
      </w:r>
    </w:p>
    <w:p w:rsidR="00A67A52" w:rsidRDefault="00A67A52">
      <w:pPr>
        <w:pStyle w:val="Leipis"/>
        <w:rPr>
          <w:lang w:val="sv-SE"/>
        </w:rPr>
      </w:pPr>
      <w:r>
        <w:rPr>
          <w:lang w:val="sv-SE"/>
        </w:rPr>
        <w:t>5.5 För exportintyg för livsmedel tas ut en avgift som motsvarar kostnaderna.</w:t>
      </w:r>
    </w:p>
    <w:p w:rsidR="00A67A52" w:rsidRDefault="00A67A52">
      <w:pPr>
        <w:pStyle w:val="Leipis"/>
        <w:rPr>
          <w:lang w:val="sv-SE"/>
        </w:rPr>
      </w:pPr>
      <w:r>
        <w:rPr>
          <w:lang w:val="sv-SE"/>
        </w:rPr>
        <w:t>5.6 För obligatoriskt och frivilligt godkännande av system för märkning av nötkött debiteras ___ euro.</w:t>
      </w:r>
    </w:p>
    <w:p w:rsidR="00A67A52" w:rsidRDefault="00A67A52" w:rsidP="00ED2C87">
      <w:pPr>
        <w:pStyle w:val="Otsikko2"/>
      </w:pPr>
      <w:r>
        <w:t>6 § Fastställande av tillsynsavgiften i undantagsfall</w:t>
      </w:r>
    </w:p>
    <w:p w:rsidR="00A67A52" w:rsidRDefault="00A67A52">
      <w:pPr>
        <w:pStyle w:val="Leipis"/>
        <w:rPr>
          <w:lang w:val="sv-SE"/>
        </w:rPr>
      </w:pPr>
      <w:r>
        <w:rPr>
          <w:lang w:val="sv-SE"/>
        </w:rPr>
        <w:t xml:space="preserve">6.1 </w:t>
      </w:r>
      <w:r>
        <w:rPr>
          <w:lang w:val="sv-SE"/>
        </w:rPr>
        <w:tab/>
        <w:t xml:space="preserve">För en inspektion som ingår i tillsynsplanen och som kräver en exceptionellt stor/liten arbetsinsats och där tidsåtgången vid inspektionen avsevärt avviker från planerat, kan fastställas en avgift som är högst ___ % högre/lägre än vad som föreskrivs i 4 § 1 mom. </w:t>
      </w:r>
    </w:p>
    <w:p w:rsidR="00A67A52" w:rsidRDefault="00A67A52">
      <w:pPr>
        <w:pStyle w:val="Leipis"/>
        <w:rPr>
          <w:lang w:val="sv-SE"/>
        </w:rPr>
      </w:pPr>
      <w:r>
        <w:rPr>
          <w:lang w:val="sv-SE"/>
        </w:rPr>
        <w:t>6.2 Om ändring av tillsynsavgiften i undantagsfall beslutar _______________.</w:t>
      </w:r>
      <w:r>
        <w:rPr>
          <w:lang w:val="sv-SE"/>
        </w:rPr>
        <w:tab/>
      </w:r>
    </w:p>
    <w:p w:rsidR="00A67A52" w:rsidRDefault="00A67A52" w:rsidP="00ED2C87">
      <w:pPr>
        <w:pStyle w:val="Otsikko2"/>
      </w:pPr>
      <w:r>
        <w:t>7 § Ansökan som återtas och handläggning som avbryts</w:t>
      </w:r>
    </w:p>
    <w:p w:rsidR="00A67A52" w:rsidRDefault="00A67A52">
      <w:pPr>
        <w:pStyle w:val="Leipis"/>
        <w:rPr>
          <w:lang w:val="sv-SE"/>
        </w:rPr>
      </w:pPr>
      <w:r>
        <w:rPr>
          <w:lang w:val="sv-SE"/>
        </w:rPr>
        <w:t xml:space="preserve">7.1 </w:t>
      </w:r>
      <w:r>
        <w:rPr>
          <w:lang w:val="sv-SE"/>
        </w:rPr>
        <w:tab/>
        <w:t>Om den sökande återtar sin ansökan eller om handläggningen av ärendet hos den kommunala myndigheten av andra orsaker avbryts innan beslutet har getts och myndigheten redan har vidtagit betydande åtgärder för handläggning av ansökan tas …. procent ut av avgiften enligt 3 §.</w:t>
      </w:r>
    </w:p>
    <w:p w:rsidR="00A67A52" w:rsidRDefault="00A67A52" w:rsidP="00ED2C87">
      <w:pPr>
        <w:pStyle w:val="Otsikko2"/>
      </w:pPr>
      <w:r>
        <w:t xml:space="preserve">8 § Avslag på ansökan eller avslag på handläggning   </w:t>
      </w:r>
    </w:p>
    <w:p w:rsidR="00A67A52" w:rsidRDefault="00A67A52">
      <w:pPr>
        <w:pStyle w:val="Leipis"/>
        <w:rPr>
          <w:lang w:val="sv-SE"/>
        </w:rPr>
      </w:pPr>
      <w:r>
        <w:rPr>
          <w:lang w:val="sv-SE"/>
        </w:rPr>
        <w:t>8.1</w:t>
      </w:r>
      <w:r>
        <w:rPr>
          <w:lang w:val="sv-SE"/>
        </w:rPr>
        <w:tab/>
        <w:t xml:space="preserve"> För en ansökan som kommunen beslutar avslå tas avgift ut enligt denna taxa. Om grunderna för att avslå ansökan är så uppenbara att en mer utförlig handläggning av ärendet inte är motiverad, kan avgiften enligt 3 § sänkas med …. procent.</w:t>
      </w:r>
    </w:p>
    <w:p w:rsidR="00A67A52" w:rsidRDefault="00A67A52">
      <w:pPr>
        <w:pStyle w:val="Leipis"/>
        <w:rPr>
          <w:lang w:val="sv-SE"/>
        </w:rPr>
      </w:pPr>
      <w:r>
        <w:rPr>
          <w:lang w:val="sv-SE"/>
        </w:rPr>
        <w:t>8.2 Om kommunen beslutat låta bli att handlägga en ansökan, tas ingen avgift ut.</w:t>
      </w:r>
    </w:p>
    <w:p w:rsidR="00A67A52" w:rsidRDefault="00A67A52" w:rsidP="00ED2C87">
      <w:pPr>
        <w:pStyle w:val="Otsikko2"/>
      </w:pPr>
      <w:r>
        <w:t>9 § Avgift för handläggning av återförvisad ansökan</w:t>
      </w:r>
    </w:p>
    <w:p w:rsidR="00A67A52" w:rsidRDefault="00A67A52">
      <w:pPr>
        <w:pStyle w:val="Leipis"/>
        <w:rPr>
          <w:lang w:val="sv-SE"/>
        </w:rPr>
      </w:pPr>
      <w:r>
        <w:rPr>
          <w:lang w:val="sv-SE"/>
        </w:rPr>
        <w:t>9.1</w:t>
      </w:r>
      <w:r>
        <w:rPr>
          <w:lang w:val="sv-SE"/>
        </w:rPr>
        <w:tab/>
        <w:t xml:space="preserve"> Om domstolen på grund av ändringssökande återförvisar ärendet för ny behandling, avdras det belopp som tagits ut för tillsynsmyndighetens beslut från avgiften enligt denna taxa.</w:t>
      </w:r>
    </w:p>
    <w:p w:rsidR="00A67A52" w:rsidRDefault="00A67A52">
      <w:pPr>
        <w:pStyle w:val="Leipis"/>
        <w:rPr>
          <w:lang w:val="sv-SE"/>
        </w:rPr>
      </w:pPr>
      <w:r>
        <w:rPr>
          <w:lang w:val="sv-SE"/>
        </w:rPr>
        <w:t xml:space="preserve">9.2 </w:t>
      </w:r>
      <w:r>
        <w:rPr>
          <w:lang w:val="sv-SE"/>
        </w:rPr>
        <w:tab/>
        <w:t>Om domstolen på grund av ändringssökande upphäver beslutet av den anledningen att den sökande inte behövt det beslut om godkännande som han sökt, återbetalas den avgift som tagits ut i sin helhet.</w:t>
      </w:r>
    </w:p>
    <w:p w:rsidR="00A67A52" w:rsidRDefault="00A67A52" w:rsidP="00ED2C87">
      <w:pPr>
        <w:pStyle w:val="Otsikko2"/>
      </w:pPr>
      <w:r>
        <w:t>10 § Betalning och indrivning av avgiften</w:t>
      </w:r>
    </w:p>
    <w:p w:rsidR="00A67A52" w:rsidRDefault="00A67A52">
      <w:pPr>
        <w:pStyle w:val="Leipis"/>
        <w:rPr>
          <w:lang w:val="sv-SE"/>
        </w:rPr>
      </w:pPr>
      <w:r>
        <w:rPr>
          <w:lang w:val="sv-SE"/>
        </w:rPr>
        <w:t>10.1 En tillsynsavgift debiteras för utförd inspektion.</w:t>
      </w:r>
    </w:p>
    <w:p w:rsidR="00A67A52" w:rsidRDefault="00A67A52">
      <w:pPr>
        <w:pStyle w:val="Leipis"/>
        <w:rPr>
          <w:lang w:val="sv-SE"/>
        </w:rPr>
      </w:pPr>
      <w:r>
        <w:rPr>
          <w:lang w:val="sv-SE"/>
        </w:rPr>
        <w:t xml:space="preserve">10.2 Avgiften ska betalas senast på den förfallodag som anges i fakturan. </w:t>
      </w:r>
    </w:p>
    <w:p w:rsidR="00A67A52" w:rsidRDefault="00A67A52">
      <w:pPr>
        <w:pStyle w:val="Leipis"/>
        <w:rPr>
          <w:lang w:val="sv-SE"/>
        </w:rPr>
      </w:pPr>
      <w:r>
        <w:rPr>
          <w:lang w:val="sv-SE"/>
        </w:rPr>
        <w:lastRenderedPageBreak/>
        <w:t>10.3</w:t>
      </w:r>
      <w:r>
        <w:rPr>
          <w:lang w:val="sv-SE"/>
        </w:rPr>
        <w:tab/>
        <w:t xml:space="preserve"> Om en avgift enligt denna taxa trots påminnelse inte betalas, kan den drivas in utan dom eller beslut på det sätt som bestäms i lagen om indrivning av skatter och avgifter i utsökningsväg (367/1961).</w:t>
      </w:r>
    </w:p>
    <w:p w:rsidR="00A67A52" w:rsidRDefault="00A67A52" w:rsidP="00ED2C87">
      <w:pPr>
        <w:pStyle w:val="Otsikko2"/>
      </w:pPr>
      <w:r>
        <w:t>11 § Ikraftträdande</w:t>
      </w:r>
    </w:p>
    <w:p w:rsidR="00A67A52" w:rsidRDefault="00A67A52">
      <w:pPr>
        <w:pStyle w:val="Leipis"/>
        <w:rPr>
          <w:lang w:val="sv-SE"/>
        </w:rPr>
      </w:pPr>
      <w:r>
        <w:rPr>
          <w:lang w:val="sv-SE"/>
        </w:rPr>
        <w:t>11</w:t>
      </w:r>
      <w:r w:rsidR="00ED2C87">
        <w:rPr>
          <w:lang w:val="sv-SE"/>
        </w:rPr>
        <w:t>.</w:t>
      </w:r>
      <w:r>
        <w:rPr>
          <w:lang w:val="sv-SE"/>
        </w:rPr>
        <w:t>1 Denna taxa träder i kraft den __ (dag) __________(månad) 2007.</w:t>
      </w:r>
    </w:p>
    <w:p w:rsidR="00A67A52" w:rsidRDefault="00A67A52">
      <w:pPr>
        <w:pStyle w:val="Leipis"/>
        <w:rPr>
          <w:lang w:val="sv-SE"/>
        </w:rPr>
      </w:pPr>
      <w:r>
        <w:rPr>
          <w:lang w:val="sv-SE"/>
        </w:rPr>
        <w:t>___________________ i ________________kommun/stad har godkänt denna taxa genom sitt beslut den __ (dag) __________ (månad) 2007 (§ __)</w:t>
      </w:r>
    </w:p>
    <w:p w:rsidR="00A67A52" w:rsidRDefault="00A67A52">
      <w:pPr>
        <w:rPr>
          <w:lang w:val="sv-SE"/>
        </w:rPr>
      </w:pPr>
    </w:p>
    <w:sectPr w:rsidR="00A67A52">
      <w:headerReference w:type="default" r:id="rId8"/>
      <w:headerReference w:type="first" r:id="rId9"/>
      <w:pgSz w:w="11906" w:h="16838" w:code="9"/>
      <w:pgMar w:top="680" w:right="1134" w:bottom="209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025" w:rsidRDefault="00C56025">
      <w:r>
        <w:separator/>
      </w:r>
    </w:p>
  </w:endnote>
  <w:endnote w:type="continuationSeparator" w:id="0">
    <w:p w:rsidR="00C56025" w:rsidRDefault="00C5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025" w:rsidRDefault="00C56025">
      <w:r>
        <w:separator/>
      </w:r>
    </w:p>
  </w:footnote>
  <w:footnote w:type="continuationSeparator" w:id="0">
    <w:p w:rsidR="00C56025" w:rsidRDefault="00C56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52" w:rsidRDefault="00A67A52">
    <w:pPr>
      <w:pStyle w:val="Yltunniste"/>
      <w:tabs>
        <w:tab w:val="clear" w:pos="4819"/>
        <w:tab w:val="clear" w:pos="9638"/>
      </w:tabs>
      <w:rPr>
        <w:rStyle w:val="Sivunumero"/>
      </w:rPr>
    </w:pPr>
    <w:r>
      <w:tab/>
    </w:r>
    <w:r>
      <w:tab/>
    </w:r>
    <w:r>
      <w:tab/>
    </w:r>
    <w:r>
      <w:tab/>
    </w:r>
    <w:r>
      <w:tab/>
    </w:r>
    <w:r>
      <w:tab/>
    </w:r>
    <w:r>
      <w:tab/>
    </w:r>
    <w:r>
      <w:rPr>
        <w:rStyle w:val="Sivunumero"/>
      </w:rPr>
      <w:fldChar w:fldCharType="begin"/>
    </w:r>
    <w:r>
      <w:rPr>
        <w:rStyle w:val="Sivunumero"/>
      </w:rPr>
      <w:instrText xml:space="preserve"> PAGE </w:instrText>
    </w:r>
    <w:r>
      <w:rPr>
        <w:rStyle w:val="Sivunumero"/>
      </w:rPr>
      <w:fldChar w:fldCharType="separate"/>
    </w:r>
    <w:r w:rsidR="007C155B">
      <w:rPr>
        <w:rStyle w:val="Sivunumero"/>
        <w:noProof/>
      </w:rPr>
      <w:t>3</w:t>
    </w:r>
    <w:r>
      <w:rPr>
        <w:rStyle w:val="Sivunumero"/>
      </w:rPr>
      <w:fldChar w:fldCharType="end"/>
    </w:r>
  </w:p>
  <w:p w:rsidR="00A67A52" w:rsidRDefault="00A67A52">
    <w:pPr>
      <w:pStyle w:val="Yltunniste"/>
      <w:tabs>
        <w:tab w:val="clear" w:pos="4819"/>
        <w:tab w:val="clear" w:pos="9638"/>
      </w:tabs>
      <w:rPr>
        <w:rStyle w:val="Sivunumero"/>
      </w:rPr>
    </w:pPr>
  </w:p>
  <w:p w:rsidR="00A67A52" w:rsidRDefault="00A67A52">
    <w:pPr>
      <w:pStyle w:val="Yltunniste"/>
      <w:tabs>
        <w:tab w:val="clear" w:pos="4819"/>
        <w:tab w:val="clear"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A52" w:rsidRDefault="00A67A52">
    <w:pPr>
      <w:pStyle w:val="Yltunniste"/>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C643D"/>
    <w:multiLevelType w:val="multilevel"/>
    <w:tmpl w:val="080C1A88"/>
    <w:lvl w:ilvl="0">
      <w:start w:val="1"/>
      <w:numFmt w:val="decimal"/>
      <w:lvlText w:val="%1."/>
      <w:lvlJc w:val="left"/>
      <w:pPr>
        <w:tabs>
          <w:tab w:val="num" w:pos="2024"/>
        </w:tabs>
        <w:ind w:left="2024" w:hanging="360"/>
      </w:pPr>
    </w:lvl>
    <w:lvl w:ilvl="1">
      <w:start w:val="1"/>
      <w:numFmt w:val="lowerLetter"/>
      <w:lvlText w:val="%2."/>
      <w:lvlJc w:val="left"/>
      <w:pPr>
        <w:tabs>
          <w:tab w:val="num" w:pos="2744"/>
        </w:tabs>
        <w:ind w:left="2744" w:hanging="360"/>
      </w:pPr>
    </w:lvl>
    <w:lvl w:ilvl="2">
      <w:start w:val="1"/>
      <w:numFmt w:val="lowerRoman"/>
      <w:lvlText w:val="%3."/>
      <w:lvlJc w:val="right"/>
      <w:pPr>
        <w:tabs>
          <w:tab w:val="num" w:pos="3464"/>
        </w:tabs>
        <w:ind w:left="3464" w:hanging="180"/>
      </w:pPr>
    </w:lvl>
    <w:lvl w:ilvl="3">
      <w:start w:val="1"/>
      <w:numFmt w:val="decimal"/>
      <w:lvlText w:val="%4."/>
      <w:lvlJc w:val="left"/>
      <w:pPr>
        <w:tabs>
          <w:tab w:val="num" w:pos="4184"/>
        </w:tabs>
        <w:ind w:left="4184" w:hanging="360"/>
      </w:pPr>
    </w:lvl>
    <w:lvl w:ilvl="4">
      <w:start w:val="1"/>
      <w:numFmt w:val="lowerLetter"/>
      <w:lvlText w:val="%5."/>
      <w:lvlJc w:val="left"/>
      <w:pPr>
        <w:tabs>
          <w:tab w:val="num" w:pos="4904"/>
        </w:tabs>
        <w:ind w:left="4904" w:hanging="360"/>
      </w:pPr>
    </w:lvl>
    <w:lvl w:ilvl="5">
      <w:start w:val="1"/>
      <w:numFmt w:val="lowerRoman"/>
      <w:lvlText w:val="%6."/>
      <w:lvlJc w:val="right"/>
      <w:pPr>
        <w:tabs>
          <w:tab w:val="num" w:pos="5624"/>
        </w:tabs>
        <w:ind w:left="5624" w:hanging="180"/>
      </w:pPr>
    </w:lvl>
    <w:lvl w:ilvl="6">
      <w:start w:val="1"/>
      <w:numFmt w:val="decimal"/>
      <w:lvlText w:val="%7."/>
      <w:lvlJc w:val="left"/>
      <w:pPr>
        <w:tabs>
          <w:tab w:val="num" w:pos="6344"/>
        </w:tabs>
        <w:ind w:left="6344" w:hanging="360"/>
      </w:pPr>
    </w:lvl>
    <w:lvl w:ilvl="7">
      <w:start w:val="1"/>
      <w:numFmt w:val="lowerLetter"/>
      <w:lvlText w:val="%8."/>
      <w:lvlJc w:val="left"/>
      <w:pPr>
        <w:tabs>
          <w:tab w:val="num" w:pos="7064"/>
        </w:tabs>
        <w:ind w:left="7064" w:hanging="360"/>
      </w:pPr>
    </w:lvl>
    <w:lvl w:ilvl="8">
      <w:start w:val="1"/>
      <w:numFmt w:val="lowerRoman"/>
      <w:lvlText w:val="%9."/>
      <w:lvlJc w:val="right"/>
      <w:pPr>
        <w:tabs>
          <w:tab w:val="num" w:pos="7784"/>
        </w:tabs>
        <w:ind w:left="7784" w:hanging="180"/>
      </w:pPr>
    </w:lvl>
  </w:abstractNum>
  <w:abstractNum w:abstractNumId="1">
    <w:nsid w:val="3FA26084"/>
    <w:multiLevelType w:val="hybridMultilevel"/>
    <w:tmpl w:val="65A60706"/>
    <w:lvl w:ilvl="0" w:tplc="A57AED4A">
      <w:start w:val="1"/>
      <w:numFmt w:val="decimal"/>
      <w:pStyle w:val="Bulletnrosulku"/>
      <w:lvlText w:val="%1)"/>
      <w:lvlJc w:val="left"/>
      <w:pPr>
        <w:tabs>
          <w:tab w:val="num" w:pos="2024"/>
        </w:tabs>
        <w:ind w:left="2024" w:hanging="360"/>
      </w:pPr>
    </w:lvl>
    <w:lvl w:ilvl="1" w:tplc="04190019">
      <w:start w:val="1"/>
      <w:numFmt w:val="lowerLetter"/>
      <w:lvlText w:val="%2."/>
      <w:lvlJc w:val="left"/>
      <w:pPr>
        <w:tabs>
          <w:tab w:val="num" w:pos="2744"/>
        </w:tabs>
        <w:ind w:left="2744" w:hanging="360"/>
      </w:pPr>
    </w:lvl>
    <w:lvl w:ilvl="2" w:tplc="0419001B">
      <w:start w:val="1"/>
      <w:numFmt w:val="lowerRoman"/>
      <w:lvlText w:val="%3."/>
      <w:lvlJc w:val="right"/>
      <w:pPr>
        <w:tabs>
          <w:tab w:val="num" w:pos="3464"/>
        </w:tabs>
        <w:ind w:left="3464" w:hanging="180"/>
      </w:pPr>
    </w:lvl>
    <w:lvl w:ilvl="3" w:tplc="0419000F">
      <w:start w:val="1"/>
      <w:numFmt w:val="decimal"/>
      <w:lvlText w:val="%4."/>
      <w:lvlJc w:val="left"/>
      <w:pPr>
        <w:tabs>
          <w:tab w:val="num" w:pos="4184"/>
        </w:tabs>
        <w:ind w:left="4184" w:hanging="360"/>
      </w:pPr>
    </w:lvl>
    <w:lvl w:ilvl="4" w:tplc="04190019">
      <w:start w:val="1"/>
      <w:numFmt w:val="lowerLetter"/>
      <w:lvlText w:val="%5."/>
      <w:lvlJc w:val="left"/>
      <w:pPr>
        <w:tabs>
          <w:tab w:val="num" w:pos="4904"/>
        </w:tabs>
        <w:ind w:left="4904" w:hanging="360"/>
      </w:pPr>
    </w:lvl>
    <w:lvl w:ilvl="5" w:tplc="0419001B">
      <w:start w:val="1"/>
      <w:numFmt w:val="lowerRoman"/>
      <w:lvlText w:val="%6."/>
      <w:lvlJc w:val="right"/>
      <w:pPr>
        <w:tabs>
          <w:tab w:val="num" w:pos="5624"/>
        </w:tabs>
        <w:ind w:left="5624" w:hanging="180"/>
      </w:pPr>
    </w:lvl>
    <w:lvl w:ilvl="6" w:tplc="0419000F">
      <w:start w:val="1"/>
      <w:numFmt w:val="decimal"/>
      <w:lvlText w:val="%7."/>
      <w:lvlJc w:val="left"/>
      <w:pPr>
        <w:tabs>
          <w:tab w:val="num" w:pos="6344"/>
        </w:tabs>
        <w:ind w:left="6344" w:hanging="360"/>
      </w:pPr>
    </w:lvl>
    <w:lvl w:ilvl="7" w:tplc="04190019">
      <w:start w:val="1"/>
      <w:numFmt w:val="lowerLetter"/>
      <w:lvlText w:val="%8."/>
      <w:lvlJc w:val="left"/>
      <w:pPr>
        <w:tabs>
          <w:tab w:val="num" w:pos="7064"/>
        </w:tabs>
        <w:ind w:left="7064" w:hanging="360"/>
      </w:pPr>
    </w:lvl>
    <w:lvl w:ilvl="8" w:tplc="0419001B">
      <w:start w:val="1"/>
      <w:numFmt w:val="lowerRoman"/>
      <w:lvlText w:val="%9."/>
      <w:lvlJc w:val="right"/>
      <w:pPr>
        <w:tabs>
          <w:tab w:val="num" w:pos="7784"/>
        </w:tabs>
        <w:ind w:left="7784" w:hanging="180"/>
      </w:pPr>
    </w:lvl>
  </w:abstractNum>
  <w:abstractNum w:abstractNumId="2">
    <w:nsid w:val="75505636"/>
    <w:multiLevelType w:val="hybridMultilevel"/>
    <w:tmpl w:val="C2EA092C"/>
    <w:lvl w:ilvl="0" w:tplc="8F90E9C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1304"/>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2F0"/>
    <w:rsid w:val="00061F18"/>
    <w:rsid w:val="001011FF"/>
    <w:rsid w:val="00151795"/>
    <w:rsid w:val="001653E2"/>
    <w:rsid w:val="001761E4"/>
    <w:rsid w:val="00195D60"/>
    <w:rsid w:val="001E1FD5"/>
    <w:rsid w:val="00270F71"/>
    <w:rsid w:val="00275A6C"/>
    <w:rsid w:val="00346859"/>
    <w:rsid w:val="003B5600"/>
    <w:rsid w:val="003C3026"/>
    <w:rsid w:val="004005E2"/>
    <w:rsid w:val="00422DFF"/>
    <w:rsid w:val="004E55B2"/>
    <w:rsid w:val="005354D7"/>
    <w:rsid w:val="005362F0"/>
    <w:rsid w:val="00573334"/>
    <w:rsid w:val="005923AC"/>
    <w:rsid w:val="005D2642"/>
    <w:rsid w:val="005D2EBB"/>
    <w:rsid w:val="005D4577"/>
    <w:rsid w:val="005E25D8"/>
    <w:rsid w:val="005E4EEB"/>
    <w:rsid w:val="00630418"/>
    <w:rsid w:val="006501F9"/>
    <w:rsid w:val="006840F7"/>
    <w:rsid w:val="006C49E8"/>
    <w:rsid w:val="00703028"/>
    <w:rsid w:val="00735E47"/>
    <w:rsid w:val="00774672"/>
    <w:rsid w:val="007942F0"/>
    <w:rsid w:val="007C092A"/>
    <w:rsid w:val="007C155B"/>
    <w:rsid w:val="007C20E4"/>
    <w:rsid w:val="008466E5"/>
    <w:rsid w:val="00885EC9"/>
    <w:rsid w:val="009227CE"/>
    <w:rsid w:val="00926BF0"/>
    <w:rsid w:val="00961436"/>
    <w:rsid w:val="0099348B"/>
    <w:rsid w:val="009B38D4"/>
    <w:rsid w:val="00A012B8"/>
    <w:rsid w:val="00A23456"/>
    <w:rsid w:val="00A26D71"/>
    <w:rsid w:val="00A67A52"/>
    <w:rsid w:val="00AA38D7"/>
    <w:rsid w:val="00AF310B"/>
    <w:rsid w:val="00B50BC7"/>
    <w:rsid w:val="00B53A67"/>
    <w:rsid w:val="00BE5F9D"/>
    <w:rsid w:val="00BE68F7"/>
    <w:rsid w:val="00C43E35"/>
    <w:rsid w:val="00C56025"/>
    <w:rsid w:val="00C72FFE"/>
    <w:rsid w:val="00D61C98"/>
    <w:rsid w:val="00E071F9"/>
    <w:rsid w:val="00E10F45"/>
    <w:rsid w:val="00E25304"/>
    <w:rsid w:val="00E504E7"/>
    <w:rsid w:val="00E930B6"/>
    <w:rsid w:val="00EC03EA"/>
    <w:rsid w:val="00ED2C87"/>
    <w:rsid w:val="00EE549E"/>
    <w:rsid w:val="00F53194"/>
    <w:rsid w:val="00F67EE0"/>
    <w:rsid w:val="00F7645F"/>
    <w:rsid w:val="00FD1FB8"/>
    <w:rsid w:val="00FE29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pacing w:after="0" w:line="240" w:lineRule="auto"/>
    </w:pPr>
    <w:rPr>
      <w:rFonts w:ascii="Verdana" w:hAnsi="Verdana" w:cs="Verdana"/>
      <w:sz w:val="18"/>
      <w:szCs w:val="18"/>
    </w:rPr>
  </w:style>
  <w:style w:type="paragraph" w:styleId="Otsikko1">
    <w:name w:val="heading 1"/>
    <w:aliases w:val="Pääotsikko"/>
    <w:basedOn w:val="Normaali"/>
    <w:next w:val="Normaali"/>
    <w:link w:val="Otsikko1Char"/>
    <w:autoRedefine/>
    <w:uiPriority w:val="99"/>
    <w:qFormat/>
    <w:pPr>
      <w:keepNext/>
      <w:spacing w:after="240"/>
      <w:outlineLvl w:val="0"/>
    </w:pPr>
    <w:rPr>
      <w:b/>
      <w:bCs/>
      <w:kern w:val="32"/>
      <w:sz w:val="22"/>
      <w:szCs w:val="22"/>
    </w:rPr>
  </w:style>
  <w:style w:type="paragraph" w:styleId="Otsikko2">
    <w:name w:val="heading 2"/>
    <w:basedOn w:val="Normaali"/>
    <w:next w:val="Normaali"/>
    <w:link w:val="Otsikko2Char"/>
    <w:autoRedefine/>
    <w:uiPriority w:val="99"/>
    <w:qFormat/>
    <w:rsid w:val="00ED2C87"/>
    <w:pPr>
      <w:keepNext/>
      <w:spacing w:after="240"/>
      <w:outlineLvl w:val="1"/>
    </w:pPr>
    <w:rPr>
      <w:b/>
      <w:bCs/>
      <w:noProof/>
      <w:lang w:val="sv-SE"/>
    </w:rPr>
  </w:style>
  <w:style w:type="paragraph" w:styleId="Otsikko3">
    <w:name w:val="heading 3"/>
    <w:basedOn w:val="Normaali"/>
    <w:next w:val="Normaali"/>
    <w:link w:val="Otsikko3Char"/>
    <w:autoRedefine/>
    <w:uiPriority w:val="99"/>
    <w:qFormat/>
    <w:pPr>
      <w:keepNext/>
      <w:spacing w:after="240"/>
      <w:ind w:left="1298"/>
      <w:outlineLvl w:val="2"/>
    </w:pPr>
    <w:rPr>
      <w:b/>
      <w:bCs/>
    </w:rPr>
  </w:style>
  <w:style w:type="character" w:default="1" w:styleId="Kappaleenoletusfontti">
    <w:name w:val="Default Paragraph Font"/>
    <w:uiPriority w:val="99"/>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9"/>
    <w:locked/>
    <w:rPr>
      <w:rFonts w:ascii="Verdana" w:hAnsi="Verdana" w:cs="Verdana"/>
      <w:b/>
      <w:bCs/>
      <w:kern w:val="32"/>
      <w:sz w:val="24"/>
      <w:szCs w:val="24"/>
      <w:lang w:val="fi-FI" w:eastAsia="x-none"/>
    </w:rPr>
  </w:style>
  <w:style w:type="character" w:customStyle="1" w:styleId="Otsikko2Char">
    <w:name w:val="Otsikko 2 Char"/>
    <w:basedOn w:val="Kappaleenoletusfontti"/>
    <w:link w:val="Otsikko2"/>
    <w:uiPriority w:val="99"/>
    <w:locked/>
    <w:rPr>
      <w:rFonts w:ascii="Verdana" w:hAnsi="Verdana" w:cs="Verdana"/>
      <w:b/>
      <w:bCs/>
      <w:sz w:val="28"/>
      <w:szCs w:val="28"/>
      <w:lang w:val="fi-FI" w:eastAsia="x-none"/>
    </w:rPr>
  </w:style>
  <w:style w:type="character" w:customStyle="1" w:styleId="Otsikko3Char">
    <w:name w:val="Otsikko 3 Char"/>
    <w:basedOn w:val="Kappaleenoletusfontti"/>
    <w:link w:val="Otsikko3"/>
    <w:uiPriority w:val="9"/>
    <w:semiHidden/>
    <w:rPr>
      <w:rFonts w:asciiTheme="majorHAnsi" w:eastAsiaTheme="majorEastAsia" w:hAnsiTheme="majorHAnsi" w:cstheme="majorBidi"/>
      <w:b/>
      <w:bCs/>
      <w:sz w:val="26"/>
      <w:szCs w:val="26"/>
    </w:rPr>
  </w:style>
  <w:style w:type="paragraph" w:customStyle="1" w:styleId="Leipis">
    <w:name w:val="Leipis"/>
    <w:basedOn w:val="Normaali"/>
    <w:autoRedefine/>
    <w:uiPriority w:val="99"/>
    <w:pPr>
      <w:tabs>
        <w:tab w:val="right" w:pos="9072"/>
      </w:tabs>
      <w:spacing w:after="240"/>
      <w:ind w:left="1304"/>
    </w:pPr>
  </w:style>
  <w:style w:type="paragraph" w:styleId="Yltunniste">
    <w:name w:val="header"/>
    <w:basedOn w:val="Normaali"/>
    <w:link w:val="YltunnisteChar"/>
    <w:autoRedefine/>
    <w:uiPriority w:val="99"/>
    <w:semiHidden/>
    <w:pPr>
      <w:tabs>
        <w:tab w:val="center" w:pos="4819"/>
        <w:tab w:val="right" w:pos="9638"/>
      </w:tabs>
    </w:pPr>
  </w:style>
  <w:style w:type="character" w:customStyle="1" w:styleId="YltunnisteChar">
    <w:name w:val="Ylätunniste Char"/>
    <w:basedOn w:val="Kappaleenoletusfontti"/>
    <w:link w:val="Yltunniste"/>
    <w:uiPriority w:val="99"/>
    <w:semiHidden/>
    <w:rPr>
      <w:rFonts w:ascii="Verdana" w:hAnsi="Verdana" w:cs="Verdana"/>
      <w:sz w:val="18"/>
      <w:szCs w:val="18"/>
    </w:rPr>
  </w:style>
  <w:style w:type="paragraph" w:styleId="Alatunniste">
    <w:name w:val="footer"/>
    <w:basedOn w:val="Normaali"/>
    <w:link w:val="AlatunnisteChar"/>
    <w:uiPriority w:val="99"/>
    <w:semiHidden/>
    <w:pPr>
      <w:tabs>
        <w:tab w:val="center" w:pos="4819"/>
        <w:tab w:val="right" w:pos="9638"/>
      </w:tabs>
    </w:pPr>
  </w:style>
  <w:style w:type="character" w:customStyle="1" w:styleId="AlatunnisteChar">
    <w:name w:val="Alatunniste Char"/>
    <w:basedOn w:val="Kappaleenoletusfontti"/>
    <w:link w:val="Alatunniste"/>
    <w:uiPriority w:val="99"/>
    <w:semiHidden/>
    <w:rPr>
      <w:rFonts w:ascii="Verdana" w:hAnsi="Verdana" w:cs="Verdana"/>
      <w:sz w:val="18"/>
      <w:szCs w:val="18"/>
    </w:rPr>
  </w:style>
  <w:style w:type="character" w:styleId="Sivunumero">
    <w:name w:val="page number"/>
    <w:basedOn w:val="Kappaleenoletusfontti"/>
    <w:uiPriority w:val="99"/>
    <w:semiHidden/>
  </w:style>
  <w:style w:type="paragraph" w:customStyle="1" w:styleId="SarkainLiite1">
    <w:name w:val="Sarkain Liite 1"/>
    <w:basedOn w:val="Leipis"/>
    <w:uiPriority w:val="99"/>
    <w:pPr>
      <w:tabs>
        <w:tab w:val="left" w:pos="1620"/>
      </w:tabs>
      <w:ind w:left="1080"/>
    </w:pPr>
  </w:style>
  <w:style w:type="paragraph" w:customStyle="1" w:styleId="Sisllysluettelo">
    <w:name w:val="Sisällysluettelo"/>
    <w:basedOn w:val="Normaali"/>
    <w:autoRedefine/>
    <w:uiPriority w:val="99"/>
    <w:pPr>
      <w:tabs>
        <w:tab w:val="left" w:pos="567"/>
        <w:tab w:val="left" w:pos="1134"/>
        <w:tab w:val="left" w:pos="1701"/>
        <w:tab w:val="right" w:pos="9072"/>
      </w:tabs>
    </w:pPr>
  </w:style>
  <w:style w:type="paragraph" w:customStyle="1" w:styleId="Luku4taulu">
    <w:name w:val="Luku4taulu"/>
    <w:basedOn w:val="Leipis"/>
    <w:next w:val="Leipis"/>
    <w:autoRedefine/>
    <w:uiPriority w:val="99"/>
    <w:pPr>
      <w:ind w:left="1134"/>
    </w:pPr>
  </w:style>
  <w:style w:type="paragraph" w:customStyle="1" w:styleId="Luku5taulu">
    <w:name w:val="Luku5taulu"/>
    <w:basedOn w:val="Leipis"/>
    <w:autoRedefine/>
    <w:uiPriority w:val="99"/>
    <w:pPr>
      <w:ind w:left="1134"/>
    </w:pPr>
  </w:style>
  <w:style w:type="paragraph" w:customStyle="1" w:styleId="Luku7taulu">
    <w:name w:val="Luku7taulu"/>
    <w:basedOn w:val="Leipis"/>
    <w:autoRedefine/>
    <w:uiPriority w:val="99"/>
    <w:pPr>
      <w:ind w:left="1134"/>
    </w:pPr>
  </w:style>
  <w:style w:type="paragraph" w:customStyle="1" w:styleId="KTtaulu">
    <w:name w:val="KTtaulu"/>
    <w:basedOn w:val="Leipis"/>
    <w:next w:val="Leipis"/>
    <w:autoRedefine/>
    <w:uiPriority w:val="99"/>
  </w:style>
  <w:style w:type="paragraph" w:customStyle="1" w:styleId="KT-taulu2">
    <w:name w:val="KT-taulu2"/>
    <w:basedOn w:val="Normaali"/>
    <w:autoRedefine/>
    <w:uiPriority w:val="99"/>
    <w:pPr>
      <w:tabs>
        <w:tab w:val="left" w:pos="2597"/>
        <w:tab w:val="right" w:pos="7938"/>
      </w:tabs>
      <w:spacing w:after="240"/>
      <w:ind w:left="1298"/>
    </w:pPr>
  </w:style>
  <w:style w:type="paragraph" w:customStyle="1" w:styleId="bullet-viiva">
    <w:name w:val="bullet-viiva"/>
    <w:basedOn w:val="Leipis"/>
    <w:autoRedefine/>
    <w:uiPriority w:val="99"/>
    <w:pPr>
      <w:tabs>
        <w:tab w:val="clear" w:pos="9072"/>
      </w:tabs>
      <w:spacing w:after="180"/>
    </w:pPr>
  </w:style>
  <w:style w:type="table" w:styleId="TaulukkoRuudukko">
    <w:name w:val="Table Grid"/>
    <w:basedOn w:val="Normaalitaulukko"/>
    <w:uiPriority w:val="99"/>
    <w:pPr>
      <w:spacing w:after="0" w:line="240" w:lineRule="auto"/>
    </w:pPr>
    <w:rPr>
      <w:rFonts w:ascii="Verdana" w:hAnsi="Verdana" w:cs="Verdana"/>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customStyle="1" w:styleId="Bulletnrosulku">
    <w:name w:val="Bullet nro+sulku"/>
    <w:basedOn w:val="Normaali"/>
    <w:uiPriority w:val="99"/>
    <w:pPr>
      <w:numPr>
        <w:numId w:val="2"/>
      </w:numPr>
    </w:pPr>
  </w:style>
  <w:style w:type="character" w:customStyle="1" w:styleId="tw4winMark">
    <w:name w:val="tw4winMark"/>
    <w:uiPriority w:val="99"/>
    <w:rPr>
      <w:rFonts w:ascii="Courier New" w:hAnsi="Courier New" w:cs="Courier New"/>
      <w:vanish/>
      <w:color w:val="800080"/>
      <w:sz w:val="24"/>
      <w:szCs w:val="24"/>
      <w:vertAlign w:val="subscript"/>
    </w:rPr>
  </w:style>
  <w:style w:type="character" w:customStyle="1" w:styleId="tw4winError">
    <w:name w:val="tw4winError"/>
    <w:uiPriority w:val="99"/>
    <w:rPr>
      <w:rFonts w:ascii="Courier New" w:hAnsi="Courier New" w:cs="Courier New"/>
      <w:color w:val="00FF00"/>
      <w:sz w:val="40"/>
      <w:szCs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cs="Courier New"/>
      <w:noProof/>
      <w:color w:val="008000"/>
    </w:rPr>
  </w:style>
  <w:style w:type="character" w:customStyle="1" w:styleId="tw4winJump">
    <w:name w:val="tw4winJump"/>
    <w:uiPriority w:val="99"/>
    <w:rPr>
      <w:rFonts w:ascii="Courier New" w:hAnsi="Courier New" w:cs="Courier New"/>
      <w:noProof/>
      <w:color w:val="008080"/>
    </w:rPr>
  </w:style>
  <w:style w:type="character" w:customStyle="1" w:styleId="tw4winExternal">
    <w:name w:val="tw4winExternal"/>
    <w:uiPriority w:val="99"/>
    <w:rPr>
      <w:rFonts w:ascii="Courier New" w:hAnsi="Courier New" w:cs="Courier New"/>
      <w:noProof/>
      <w:color w:val="808080"/>
    </w:rPr>
  </w:style>
  <w:style w:type="character" w:customStyle="1" w:styleId="tw4winInternal">
    <w:name w:val="tw4winInternal"/>
    <w:uiPriority w:val="99"/>
    <w:rPr>
      <w:rFonts w:ascii="Courier New" w:hAnsi="Courier New" w:cs="Courier New"/>
      <w:noProof/>
      <w:color w:val="FF0000"/>
    </w:rPr>
  </w:style>
  <w:style w:type="character" w:customStyle="1" w:styleId="DONOTTRANSLATE">
    <w:name w:val="DO_NOT_TRANSLATE"/>
    <w:uiPriority w:val="99"/>
    <w:rPr>
      <w:rFonts w:ascii="Courier New" w:hAnsi="Courier New" w:cs="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pacing w:after="0" w:line="240" w:lineRule="auto"/>
    </w:pPr>
    <w:rPr>
      <w:rFonts w:ascii="Verdana" w:hAnsi="Verdana" w:cs="Verdana"/>
      <w:sz w:val="18"/>
      <w:szCs w:val="18"/>
    </w:rPr>
  </w:style>
  <w:style w:type="paragraph" w:styleId="Otsikko1">
    <w:name w:val="heading 1"/>
    <w:aliases w:val="Pääotsikko"/>
    <w:basedOn w:val="Normaali"/>
    <w:next w:val="Normaali"/>
    <w:link w:val="Otsikko1Char"/>
    <w:autoRedefine/>
    <w:uiPriority w:val="99"/>
    <w:qFormat/>
    <w:pPr>
      <w:keepNext/>
      <w:spacing w:after="240"/>
      <w:outlineLvl w:val="0"/>
    </w:pPr>
    <w:rPr>
      <w:b/>
      <w:bCs/>
      <w:kern w:val="32"/>
      <w:sz w:val="22"/>
      <w:szCs w:val="22"/>
    </w:rPr>
  </w:style>
  <w:style w:type="paragraph" w:styleId="Otsikko2">
    <w:name w:val="heading 2"/>
    <w:basedOn w:val="Normaali"/>
    <w:next w:val="Normaali"/>
    <w:link w:val="Otsikko2Char"/>
    <w:autoRedefine/>
    <w:uiPriority w:val="99"/>
    <w:qFormat/>
    <w:rsid w:val="00ED2C87"/>
    <w:pPr>
      <w:keepNext/>
      <w:spacing w:after="240"/>
      <w:outlineLvl w:val="1"/>
    </w:pPr>
    <w:rPr>
      <w:b/>
      <w:bCs/>
      <w:noProof/>
      <w:lang w:val="sv-SE"/>
    </w:rPr>
  </w:style>
  <w:style w:type="paragraph" w:styleId="Otsikko3">
    <w:name w:val="heading 3"/>
    <w:basedOn w:val="Normaali"/>
    <w:next w:val="Normaali"/>
    <w:link w:val="Otsikko3Char"/>
    <w:autoRedefine/>
    <w:uiPriority w:val="99"/>
    <w:qFormat/>
    <w:pPr>
      <w:keepNext/>
      <w:spacing w:after="240"/>
      <w:ind w:left="1298"/>
      <w:outlineLvl w:val="2"/>
    </w:pPr>
    <w:rPr>
      <w:b/>
      <w:bCs/>
    </w:rPr>
  </w:style>
  <w:style w:type="character" w:default="1" w:styleId="Kappaleenoletusfontti">
    <w:name w:val="Default Paragraph Font"/>
    <w:uiPriority w:val="99"/>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9"/>
    <w:locked/>
    <w:rPr>
      <w:rFonts w:ascii="Verdana" w:hAnsi="Verdana" w:cs="Verdana"/>
      <w:b/>
      <w:bCs/>
      <w:kern w:val="32"/>
      <w:sz w:val="24"/>
      <w:szCs w:val="24"/>
      <w:lang w:val="fi-FI" w:eastAsia="x-none"/>
    </w:rPr>
  </w:style>
  <w:style w:type="character" w:customStyle="1" w:styleId="Otsikko2Char">
    <w:name w:val="Otsikko 2 Char"/>
    <w:basedOn w:val="Kappaleenoletusfontti"/>
    <w:link w:val="Otsikko2"/>
    <w:uiPriority w:val="99"/>
    <w:locked/>
    <w:rPr>
      <w:rFonts w:ascii="Verdana" w:hAnsi="Verdana" w:cs="Verdana"/>
      <w:b/>
      <w:bCs/>
      <w:sz w:val="28"/>
      <w:szCs w:val="28"/>
      <w:lang w:val="fi-FI" w:eastAsia="x-none"/>
    </w:rPr>
  </w:style>
  <w:style w:type="character" w:customStyle="1" w:styleId="Otsikko3Char">
    <w:name w:val="Otsikko 3 Char"/>
    <w:basedOn w:val="Kappaleenoletusfontti"/>
    <w:link w:val="Otsikko3"/>
    <w:uiPriority w:val="9"/>
    <w:semiHidden/>
    <w:rPr>
      <w:rFonts w:asciiTheme="majorHAnsi" w:eastAsiaTheme="majorEastAsia" w:hAnsiTheme="majorHAnsi" w:cstheme="majorBidi"/>
      <w:b/>
      <w:bCs/>
      <w:sz w:val="26"/>
      <w:szCs w:val="26"/>
    </w:rPr>
  </w:style>
  <w:style w:type="paragraph" w:customStyle="1" w:styleId="Leipis">
    <w:name w:val="Leipis"/>
    <w:basedOn w:val="Normaali"/>
    <w:autoRedefine/>
    <w:uiPriority w:val="99"/>
    <w:pPr>
      <w:tabs>
        <w:tab w:val="right" w:pos="9072"/>
      </w:tabs>
      <w:spacing w:after="240"/>
      <w:ind w:left="1304"/>
    </w:pPr>
  </w:style>
  <w:style w:type="paragraph" w:styleId="Yltunniste">
    <w:name w:val="header"/>
    <w:basedOn w:val="Normaali"/>
    <w:link w:val="YltunnisteChar"/>
    <w:autoRedefine/>
    <w:uiPriority w:val="99"/>
    <w:semiHidden/>
    <w:pPr>
      <w:tabs>
        <w:tab w:val="center" w:pos="4819"/>
        <w:tab w:val="right" w:pos="9638"/>
      </w:tabs>
    </w:pPr>
  </w:style>
  <w:style w:type="character" w:customStyle="1" w:styleId="YltunnisteChar">
    <w:name w:val="Ylätunniste Char"/>
    <w:basedOn w:val="Kappaleenoletusfontti"/>
    <w:link w:val="Yltunniste"/>
    <w:uiPriority w:val="99"/>
    <w:semiHidden/>
    <w:rPr>
      <w:rFonts w:ascii="Verdana" w:hAnsi="Verdana" w:cs="Verdana"/>
      <w:sz w:val="18"/>
      <w:szCs w:val="18"/>
    </w:rPr>
  </w:style>
  <w:style w:type="paragraph" w:styleId="Alatunniste">
    <w:name w:val="footer"/>
    <w:basedOn w:val="Normaali"/>
    <w:link w:val="AlatunnisteChar"/>
    <w:uiPriority w:val="99"/>
    <w:semiHidden/>
    <w:pPr>
      <w:tabs>
        <w:tab w:val="center" w:pos="4819"/>
        <w:tab w:val="right" w:pos="9638"/>
      </w:tabs>
    </w:pPr>
  </w:style>
  <w:style w:type="character" w:customStyle="1" w:styleId="AlatunnisteChar">
    <w:name w:val="Alatunniste Char"/>
    <w:basedOn w:val="Kappaleenoletusfontti"/>
    <w:link w:val="Alatunniste"/>
    <w:uiPriority w:val="99"/>
    <w:semiHidden/>
    <w:rPr>
      <w:rFonts w:ascii="Verdana" w:hAnsi="Verdana" w:cs="Verdana"/>
      <w:sz w:val="18"/>
      <w:szCs w:val="18"/>
    </w:rPr>
  </w:style>
  <w:style w:type="character" w:styleId="Sivunumero">
    <w:name w:val="page number"/>
    <w:basedOn w:val="Kappaleenoletusfontti"/>
    <w:uiPriority w:val="99"/>
    <w:semiHidden/>
  </w:style>
  <w:style w:type="paragraph" w:customStyle="1" w:styleId="SarkainLiite1">
    <w:name w:val="Sarkain Liite 1"/>
    <w:basedOn w:val="Leipis"/>
    <w:uiPriority w:val="99"/>
    <w:pPr>
      <w:tabs>
        <w:tab w:val="left" w:pos="1620"/>
      </w:tabs>
      <w:ind w:left="1080"/>
    </w:pPr>
  </w:style>
  <w:style w:type="paragraph" w:customStyle="1" w:styleId="Sisllysluettelo">
    <w:name w:val="Sisällysluettelo"/>
    <w:basedOn w:val="Normaali"/>
    <w:autoRedefine/>
    <w:uiPriority w:val="99"/>
    <w:pPr>
      <w:tabs>
        <w:tab w:val="left" w:pos="567"/>
        <w:tab w:val="left" w:pos="1134"/>
        <w:tab w:val="left" w:pos="1701"/>
        <w:tab w:val="right" w:pos="9072"/>
      </w:tabs>
    </w:pPr>
  </w:style>
  <w:style w:type="paragraph" w:customStyle="1" w:styleId="Luku4taulu">
    <w:name w:val="Luku4taulu"/>
    <w:basedOn w:val="Leipis"/>
    <w:next w:val="Leipis"/>
    <w:autoRedefine/>
    <w:uiPriority w:val="99"/>
    <w:pPr>
      <w:ind w:left="1134"/>
    </w:pPr>
  </w:style>
  <w:style w:type="paragraph" w:customStyle="1" w:styleId="Luku5taulu">
    <w:name w:val="Luku5taulu"/>
    <w:basedOn w:val="Leipis"/>
    <w:autoRedefine/>
    <w:uiPriority w:val="99"/>
    <w:pPr>
      <w:ind w:left="1134"/>
    </w:pPr>
  </w:style>
  <w:style w:type="paragraph" w:customStyle="1" w:styleId="Luku7taulu">
    <w:name w:val="Luku7taulu"/>
    <w:basedOn w:val="Leipis"/>
    <w:autoRedefine/>
    <w:uiPriority w:val="99"/>
    <w:pPr>
      <w:ind w:left="1134"/>
    </w:pPr>
  </w:style>
  <w:style w:type="paragraph" w:customStyle="1" w:styleId="KTtaulu">
    <w:name w:val="KTtaulu"/>
    <w:basedOn w:val="Leipis"/>
    <w:next w:val="Leipis"/>
    <w:autoRedefine/>
    <w:uiPriority w:val="99"/>
  </w:style>
  <w:style w:type="paragraph" w:customStyle="1" w:styleId="KT-taulu2">
    <w:name w:val="KT-taulu2"/>
    <w:basedOn w:val="Normaali"/>
    <w:autoRedefine/>
    <w:uiPriority w:val="99"/>
    <w:pPr>
      <w:tabs>
        <w:tab w:val="left" w:pos="2597"/>
        <w:tab w:val="right" w:pos="7938"/>
      </w:tabs>
      <w:spacing w:after="240"/>
      <w:ind w:left="1298"/>
    </w:pPr>
  </w:style>
  <w:style w:type="paragraph" w:customStyle="1" w:styleId="bullet-viiva">
    <w:name w:val="bullet-viiva"/>
    <w:basedOn w:val="Leipis"/>
    <w:autoRedefine/>
    <w:uiPriority w:val="99"/>
    <w:pPr>
      <w:tabs>
        <w:tab w:val="clear" w:pos="9072"/>
      </w:tabs>
      <w:spacing w:after="180"/>
    </w:pPr>
  </w:style>
  <w:style w:type="table" w:styleId="TaulukkoRuudukko">
    <w:name w:val="Table Grid"/>
    <w:basedOn w:val="Normaalitaulukko"/>
    <w:uiPriority w:val="99"/>
    <w:pPr>
      <w:spacing w:after="0" w:line="240" w:lineRule="auto"/>
    </w:pPr>
    <w:rPr>
      <w:rFonts w:ascii="Verdana" w:hAnsi="Verdana" w:cs="Verdana"/>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customStyle="1" w:styleId="Bulletnrosulku">
    <w:name w:val="Bullet nro+sulku"/>
    <w:basedOn w:val="Normaali"/>
    <w:uiPriority w:val="99"/>
    <w:pPr>
      <w:numPr>
        <w:numId w:val="2"/>
      </w:numPr>
    </w:pPr>
  </w:style>
  <w:style w:type="character" w:customStyle="1" w:styleId="tw4winMark">
    <w:name w:val="tw4winMark"/>
    <w:uiPriority w:val="99"/>
    <w:rPr>
      <w:rFonts w:ascii="Courier New" w:hAnsi="Courier New" w:cs="Courier New"/>
      <w:vanish/>
      <w:color w:val="800080"/>
      <w:sz w:val="24"/>
      <w:szCs w:val="24"/>
      <w:vertAlign w:val="subscript"/>
    </w:rPr>
  </w:style>
  <w:style w:type="character" w:customStyle="1" w:styleId="tw4winError">
    <w:name w:val="tw4winError"/>
    <w:uiPriority w:val="99"/>
    <w:rPr>
      <w:rFonts w:ascii="Courier New" w:hAnsi="Courier New" w:cs="Courier New"/>
      <w:color w:val="00FF00"/>
      <w:sz w:val="40"/>
      <w:szCs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cs="Courier New"/>
      <w:noProof/>
      <w:color w:val="008000"/>
    </w:rPr>
  </w:style>
  <w:style w:type="character" w:customStyle="1" w:styleId="tw4winJump">
    <w:name w:val="tw4winJump"/>
    <w:uiPriority w:val="99"/>
    <w:rPr>
      <w:rFonts w:ascii="Courier New" w:hAnsi="Courier New" w:cs="Courier New"/>
      <w:noProof/>
      <w:color w:val="008080"/>
    </w:rPr>
  </w:style>
  <w:style w:type="character" w:customStyle="1" w:styleId="tw4winExternal">
    <w:name w:val="tw4winExternal"/>
    <w:uiPriority w:val="99"/>
    <w:rPr>
      <w:rFonts w:ascii="Courier New" w:hAnsi="Courier New" w:cs="Courier New"/>
      <w:noProof/>
      <w:color w:val="808080"/>
    </w:rPr>
  </w:style>
  <w:style w:type="character" w:customStyle="1" w:styleId="tw4winInternal">
    <w:name w:val="tw4winInternal"/>
    <w:uiPriority w:val="99"/>
    <w:rPr>
      <w:rFonts w:ascii="Courier New" w:hAnsi="Courier New" w:cs="Courier New"/>
      <w:noProof/>
      <w:color w:val="FF0000"/>
    </w:rPr>
  </w:style>
  <w:style w:type="character" w:customStyle="1" w:styleId="DONOTTRANSLATE">
    <w:name w:val="DO_NOT_TRANSLATE"/>
    <w:uiPriority w:val="99"/>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5178</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Suomen Kuntaliitto</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Suhonen Victor</cp:lastModifiedBy>
  <cp:revision>2</cp:revision>
  <dcterms:created xsi:type="dcterms:W3CDTF">2017-02-07T09:52:00Z</dcterms:created>
  <dcterms:modified xsi:type="dcterms:W3CDTF">2017-02-07T09:52:00Z</dcterms:modified>
</cp:coreProperties>
</file>